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500" w:rsidRPr="00331500" w:rsidRDefault="00805FA9" w:rsidP="00331500">
      <w:pPr>
        <w:spacing w:after="0" w:line="360" w:lineRule="auto"/>
        <w:ind w:firstLine="709"/>
        <w:jc w:val="center"/>
        <w:rPr>
          <w:rFonts w:ascii="Times New Roman" w:hAnsi="Times New Roman" w:cs="Times New Roman"/>
          <w:b/>
          <w:bCs/>
          <w:sz w:val="28"/>
          <w:szCs w:val="28"/>
          <w:lang w:val="bg-BG"/>
        </w:rPr>
      </w:pPr>
      <w:bookmarkStart w:id="0" w:name="_GoBack"/>
      <w:bookmarkEnd w:id="0"/>
      <w:r w:rsidRPr="00331500">
        <w:rPr>
          <w:rFonts w:ascii="Times New Roman" w:hAnsi="Times New Roman" w:cs="Times New Roman"/>
          <w:b/>
          <w:bCs/>
          <w:sz w:val="28"/>
          <w:szCs w:val="28"/>
          <w:lang w:val="bg-BG"/>
        </w:rPr>
        <w:t xml:space="preserve">ВИДОВЕТЕ ДИСКРИМИНАЦИЯ И ЗАЩИТАТА СРЕЩУ ТЯХ СПОРЕД ПРАКТИКАТА НА СЪДА НА ЕС И </w:t>
      </w:r>
    </w:p>
    <w:p w:rsidR="00805FA9" w:rsidRPr="00331500" w:rsidRDefault="00805FA9" w:rsidP="00331500">
      <w:pPr>
        <w:spacing w:after="0" w:line="360" w:lineRule="auto"/>
        <w:ind w:firstLine="709"/>
        <w:jc w:val="center"/>
        <w:rPr>
          <w:rFonts w:ascii="Times New Roman" w:hAnsi="Times New Roman" w:cs="Times New Roman"/>
          <w:b/>
          <w:bCs/>
          <w:sz w:val="28"/>
          <w:szCs w:val="28"/>
          <w:lang w:val="bg-BG"/>
        </w:rPr>
      </w:pPr>
      <w:r w:rsidRPr="00331500">
        <w:rPr>
          <w:rFonts w:ascii="Times New Roman" w:hAnsi="Times New Roman" w:cs="Times New Roman"/>
          <w:b/>
          <w:bCs/>
          <w:sz w:val="28"/>
          <w:szCs w:val="28"/>
          <w:lang w:val="bg-BG"/>
        </w:rPr>
        <w:t>ЕВРОПЕЙСКИЯ</w:t>
      </w:r>
      <w:r w:rsidR="00331500" w:rsidRPr="00331500">
        <w:rPr>
          <w:rFonts w:ascii="Times New Roman" w:hAnsi="Times New Roman" w:cs="Times New Roman"/>
          <w:b/>
          <w:bCs/>
          <w:sz w:val="28"/>
          <w:szCs w:val="28"/>
          <w:lang w:val="bg-BG"/>
        </w:rPr>
        <w:t>Т</w:t>
      </w:r>
      <w:r w:rsidRPr="00331500">
        <w:rPr>
          <w:rFonts w:ascii="Times New Roman" w:hAnsi="Times New Roman" w:cs="Times New Roman"/>
          <w:b/>
          <w:bCs/>
          <w:sz w:val="28"/>
          <w:szCs w:val="28"/>
          <w:lang w:val="bg-BG"/>
        </w:rPr>
        <w:t xml:space="preserve"> СЪД ПО ПРАВАТА НА ЧОВЕКА</w:t>
      </w:r>
    </w:p>
    <w:p w:rsidR="006F0A41" w:rsidRPr="00331500" w:rsidRDefault="006F0A41" w:rsidP="00331500">
      <w:pPr>
        <w:spacing w:after="0" w:line="360" w:lineRule="auto"/>
        <w:rPr>
          <w:rFonts w:ascii="Times New Roman" w:hAnsi="Times New Roman" w:cs="Times New Roman"/>
          <w:b/>
          <w:bCs/>
          <w:sz w:val="28"/>
          <w:szCs w:val="28"/>
          <w:lang w:val="bg-BG"/>
        </w:rPr>
      </w:pPr>
    </w:p>
    <w:p w:rsidR="00805FA9" w:rsidRPr="00331500" w:rsidRDefault="00805FA9" w:rsidP="00331500">
      <w:pPr>
        <w:spacing w:after="0" w:line="360" w:lineRule="auto"/>
        <w:ind w:firstLine="708"/>
        <w:jc w:val="right"/>
        <w:rPr>
          <w:rFonts w:ascii="Times New Roman" w:hAnsi="Times New Roman" w:cs="Times New Roman"/>
          <w:b/>
          <w:bCs/>
          <w:i/>
          <w:sz w:val="24"/>
          <w:szCs w:val="24"/>
          <w:lang w:val="bg-BG"/>
        </w:rPr>
      </w:pPr>
      <w:r w:rsidRPr="00331500">
        <w:rPr>
          <w:rFonts w:ascii="Times New Roman" w:hAnsi="Times New Roman" w:cs="Times New Roman"/>
          <w:b/>
          <w:bCs/>
        </w:rPr>
        <w:tab/>
      </w:r>
      <w:r w:rsidRPr="00331500">
        <w:rPr>
          <w:rFonts w:ascii="Times New Roman" w:hAnsi="Times New Roman" w:cs="Times New Roman"/>
          <w:b/>
          <w:bCs/>
          <w:i/>
          <w:sz w:val="24"/>
          <w:szCs w:val="24"/>
          <w:lang w:val="bg-BG"/>
        </w:rPr>
        <w:t>Петър Василев</w:t>
      </w:r>
      <w:r w:rsidR="006F0A41" w:rsidRPr="00331500">
        <w:rPr>
          <w:rStyle w:val="FootnoteReference"/>
          <w:rFonts w:ascii="Times New Roman" w:hAnsi="Times New Roman" w:cs="Times New Roman"/>
          <w:b/>
          <w:bCs/>
          <w:i/>
          <w:sz w:val="24"/>
          <w:szCs w:val="24"/>
          <w:lang w:val="bg-BG"/>
        </w:rPr>
        <w:footnoteReference w:id="1"/>
      </w:r>
    </w:p>
    <w:p w:rsidR="00331500" w:rsidRPr="00331500" w:rsidRDefault="00331500" w:rsidP="00331500">
      <w:pPr>
        <w:spacing w:after="0" w:line="360" w:lineRule="auto"/>
        <w:jc w:val="both"/>
        <w:rPr>
          <w:rFonts w:ascii="Times New Roman" w:hAnsi="Times New Roman" w:cs="Times New Roman"/>
          <w:b/>
          <w:bCs/>
          <w:sz w:val="20"/>
          <w:szCs w:val="20"/>
        </w:rPr>
      </w:pPr>
    </w:p>
    <w:p w:rsidR="00331500" w:rsidRPr="00331500" w:rsidRDefault="00331500" w:rsidP="00331500">
      <w:pPr>
        <w:spacing w:after="0" w:line="360" w:lineRule="auto"/>
        <w:jc w:val="both"/>
        <w:rPr>
          <w:rFonts w:ascii="Times New Roman" w:hAnsi="Times New Roman" w:cs="Times New Roman"/>
          <w:b/>
          <w:bCs/>
          <w:i/>
          <w:sz w:val="24"/>
          <w:szCs w:val="24"/>
          <w:lang w:val="bg-BG"/>
        </w:rPr>
      </w:pPr>
      <w:r w:rsidRPr="00331500">
        <w:rPr>
          <w:rFonts w:ascii="Times New Roman" w:hAnsi="Times New Roman" w:cs="Times New Roman"/>
          <w:b/>
          <w:bCs/>
          <w:i/>
          <w:sz w:val="24"/>
          <w:szCs w:val="24"/>
          <w:lang w:val="bg-BG"/>
        </w:rPr>
        <w:t>Резюме</w:t>
      </w:r>
    </w:p>
    <w:p w:rsidR="006147EF" w:rsidRPr="00331500" w:rsidRDefault="00331500" w:rsidP="00331500">
      <w:pPr>
        <w:spacing w:after="0" w:line="360" w:lineRule="auto"/>
        <w:jc w:val="both"/>
        <w:rPr>
          <w:rFonts w:ascii="Times New Roman" w:hAnsi="Times New Roman" w:cs="Times New Roman"/>
          <w:b/>
          <w:bCs/>
          <w:sz w:val="20"/>
          <w:szCs w:val="20"/>
          <w:lang w:val="bg-BG"/>
        </w:rPr>
      </w:pPr>
      <w:r w:rsidRPr="00331500">
        <w:rPr>
          <w:rFonts w:ascii="Times New Roman" w:hAnsi="Times New Roman" w:cs="Times New Roman"/>
          <w:bCs/>
          <w:i/>
          <w:sz w:val="24"/>
          <w:szCs w:val="24"/>
          <w:lang w:val="bg-BG"/>
        </w:rPr>
        <w:t>М</w:t>
      </w:r>
      <w:r w:rsidR="00183994" w:rsidRPr="00331500">
        <w:rPr>
          <w:rFonts w:ascii="Times New Roman" w:hAnsi="Times New Roman" w:cs="Times New Roman"/>
          <w:bCs/>
          <w:i/>
          <w:sz w:val="24"/>
          <w:szCs w:val="24"/>
          <w:lang w:val="bg-BG"/>
        </w:rPr>
        <w:t xml:space="preserve">еждународното и европейско право за защита от дискриминация </w:t>
      </w:r>
      <w:r w:rsidR="00183994" w:rsidRPr="00331500">
        <w:rPr>
          <w:rFonts w:ascii="Times New Roman" w:hAnsi="Times New Roman" w:cs="Times New Roman"/>
          <w:bCs/>
          <w:i/>
          <w:sz w:val="24"/>
          <w:szCs w:val="24"/>
        </w:rPr>
        <w:t>предвижда, че лицата, които са в сходно положение, следва да бъдат</w:t>
      </w:r>
      <w:r w:rsidR="00183994" w:rsidRPr="00331500">
        <w:rPr>
          <w:rFonts w:ascii="Times New Roman" w:hAnsi="Times New Roman" w:cs="Times New Roman"/>
          <w:bCs/>
          <w:i/>
          <w:sz w:val="24"/>
          <w:szCs w:val="24"/>
          <w:lang w:val="bg-BG"/>
        </w:rPr>
        <w:t xml:space="preserve"> </w:t>
      </w:r>
      <w:r w:rsidR="00183994" w:rsidRPr="00331500">
        <w:rPr>
          <w:rFonts w:ascii="Times New Roman" w:hAnsi="Times New Roman" w:cs="Times New Roman"/>
          <w:bCs/>
          <w:i/>
          <w:sz w:val="24"/>
          <w:szCs w:val="24"/>
        </w:rPr>
        <w:t>третирани по еднакъв начин, а не да са обект на по</w:t>
      </w:r>
      <w:r w:rsidR="00183994" w:rsidRPr="00331500">
        <w:rPr>
          <w:rFonts w:ascii="Times New Roman" w:hAnsi="Times New Roman" w:cs="Times New Roman"/>
          <w:bCs/>
          <w:i/>
          <w:sz w:val="24"/>
          <w:szCs w:val="24"/>
        </w:rPr>
        <w:noBreakHyphen/>
        <w:t>неблагоприятно третиране</w:t>
      </w:r>
      <w:r w:rsidR="00183994" w:rsidRPr="00331500">
        <w:rPr>
          <w:rFonts w:ascii="Times New Roman" w:hAnsi="Times New Roman" w:cs="Times New Roman"/>
          <w:bCs/>
          <w:i/>
          <w:sz w:val="24"/>
          <w:szCs w:val="24"/>
          <w:lang w:val="bg-BG"/>
        </w:rPr>
        <w:t xml:space="preserve"> </w:t>
      </w:r>
      <w:r w:rsidR="00183994" w:rsidRPr="00331500">
        <w:rPr>
          <w:rFonts w:ascii="Times New Roman" w:hAnsi="Times New Roman" w:cs="Times New Roman"/>
          <w:bCs/>
          <w:i/>
          <w:sz w:val="24"/>
          <w:szCs w:val="24"/>
        </w:rPr>
        <w:t>единствено поради факта, че притежават определена характеристика, която</w:t>
      </w:r>
      <w:r w:rsidR="00183994" w:rsidRPr="00331500">
        <w:rPr>
          <w:rFonts w:ascii="Times New Roman" w:hAnsi="Times New Roman" w:cs="Times New Roman"/>
          <w:bCs/>
          <w:i/>
          <w:sz w:val="24"/>
          <w:szCs w:val="24"/>
          <w:lang w:val="bg-BG"/>
        </w:rPr>
        <w:t xml:space="preserve"> </w:t>
      </w:r>
      <w:r w:rsidR="00183994" w:rsidRPr="00331500">
        <w:rPr>
          <w:rFonts w:ascii="Times New Roman" w:hAnsi="Times New Roman" w:cs="Times New Roman"/>
          <w:bCs/>
          <w:i/>
          <w:sz w:val="24"/>
          <w:szCs w:val="24"/>
        </w:rPr>
        <w:t>е „предмет на защита“.</w:t>
      </w:r>
    </w:p>
    <w:p w:rsidR="00183994" w:rsidRPr="00331500" w:rsidRDefault="00183994" w:rsidP="00331500">
      <w:pPr>
        <w:spacing w:after="0" w:line="360" w:lineRule="auto"/>
        <w:jc w:val="both"/>
        <w:rPr>
          <w:rFonts w:ascii="Times New Roman" w:hAnsi="Times New Roman" w:cs="Times New Roman"/>
          <w:bCs/>
          <w:i/>
          <w:sz w:val="24"/>
          <w:szCs w:val="24"/>
          <w:lang w:val="bg-BG"/>
        </w:rPr>
      </w:pPr>
      <w:r w:rsidRPr="00331500">
        <w:rPr>
          <w:rFonts w:ascii="Times New Roman" w:hAnsi="Times New Roman" w:cs="Times New Roman"/>
          <w:bCs/>
          <w:i/>
          <w:sz w:val="24"/>
          <w:szCs w:val="24"/>
          <w:lang w:val="bg-BG"/>
        </w:rPr>
        <w:t>В статията се разглеждат различните категории дискриминация, установени в</w:t>
      </w:r>
      <w:r w:rsidR="006147EF" w:rsidRPr="00331500">
        <w:rPr>
          <w:rFonts w:ascii="Times New Roman" w:hAnsi="Times New Roman" w:cs="Times New Roman"/>
          <w:bCs/>
          <w:i/>
          <w:sz w:val="24"/>
          <w:szCs w:val="24"/>
          <w:lang w:val="bg-BG"/>
        </w:rPr>
        <w:t xml:space="preserve"> европейското законодателство, както и в</w:t>
      </w:r>
      <w:r w:rsidRPr="00331500">
        <w:rPr>
          <w:rFonts w:ascii="Times New Roman" w:hAnsi="Times New Roman" w:cs="Times New Roman"/>
          <w:bCs/>
          <w:i/>
          <w:sz w:val="24"/>
          <w:szCs w:val="24"/>
          <w:lang w:val="bg-BG"/>
        </w:rPr>
        <w:t xml:space="preserve"> практиката на Съда на ЕС и Европейския съд по правата на човека, </w:t>
      </w:r>
      <w:r w:rsidR="006147EF" w:rsidRPr="00331500">
        <w:rPr>
          <w:rFonts w:ascii="Times New Roman" w:hAnsi="Times New Roman" w:cs="Times New Roman"/>
          <w:bCs/>
          <w:i/>
          <w:sz w:val="24"/>
          <w:szCs w:val="24"/>
          <w:lang w:val="bg-BG"/>
        </w:rPr>
        <w:t>като се идентифицират</w:t>
      </w:r>
      <w:r w:rsidRPr="00331500">
        <w:rPr>
          <w:rFonts w:ascii="Times New Roman" w:hAnsi="Times New Roman" w:cs="Times New Roman"/>
          <w:bCs/>
          <w:i/>
          <w:sz w:val="24"/>
          <w:szCs w:val="24"/>
          <w:lang w:val="bg-BG"/>
        </w:rPr>
        <w:t xml:space="preserve"> различните механизми на</w:t>
      </w:r>
      <w:r w:rsidR="008B7C69" w:rsidRPr="00331500">
        <w:rPr>
          <w:rFonts w:ascii="Times New Roman" w:hAnsi="Times New Roman" w:cs="Times New Roman"/>
          <w:bCs/>
          <w:i/>
          <w:sz w:val="24"/>
          <w:szCs w:val="24"/>
          <w:lang w:val="bg-BG"/>
        </w:rPr>
        <w:t xml:space="preserve"> защита срe</w:t>
      </w:r>
      <w:r w:rsidRPr="00331500">
        <w:rPr>
          <w:rFonts w:ascii="Times New Roman" w:hAnsi="Times New Roman" w:cs="Times New Roman"/>
          <w:bCs/>
          <w:i/>
          <w:sz w:val="24"/>
          <w:szCs w:val="24"/>
          <w:lang w:val="bg-BG"/>
        </w:rPr>
        <w:t>щу дискриминацията.</w:t>
      </w:r>
    </w:p>
    <w:p w:rsidR="00183994" w:rsidRPr="00331500" w:rsidRDefault="00331500" w:rsidP="00331500">
      <w:pPr>
        <w:spacing w:after="0" w:line="360" w:lineRule="auto"/>
        <w:jc w:val="both"/>
        <w:rPr>
          <w:rFonts w:ascii="Times New Roman" w:hAnsi="Times New Roman" w:cs="Times New Roman"/>
          <w:bCs/>
          <w:i/>
          <w:sz w:val="24"/>
          <w:szCs w:val="24"/>
          <w:lang w:val="bg-BG"/>
        </w:rPr>
      </w:pPr>
      <w:r w:rsidRPr="00331500">
        <w:rPr>
          <w:rFonts w:ascii="Times New Roman" w:hAnsi="Times New Roman" w:cs="Times New Roman"/>
          <w:b/>
          <w:bCs/>
          <w:i/>
          <w:sz w:val="24"/>
          <w:szCs w:val="24"/>
          <w:lang w:val="bg-BG"/>
        </w:rPr>
        <w:t>Ключови думи:</w:t>
      </w:r>
      <w:r w:rsidRPr="00331500">
        <w:rPr>
          <w:rFonts w:ascii="Times New Roman" w:hAnsi="Times New Roman" w:cs="Times New Roman"/>
          <w:bCs/>
          <w:i/>
          <w:sz w:val="24"/>
          <w:szCs w:val="24"/>
          <w:lang w:val="bg-BG"/>
        </w:rPr>
        <w:t xml:space="preserve"> антидискриминационно законодателство, видове дискриминация, Съд на ЕС, Европейски съд по правата на човека.</w:t>
      </w:r>
    </w:p>
    <w:p w:rsidR="00331500" w:rsidRPr="00331500" w:rsidRDefault="00331500" w:rsidP="00331500">
      <w:pPr>
        <w:spacing w:after="0" w:line="360" w:lineRule="auto"/>
        <w:jc w:val="both"/>
        <w:rPr>
          <w:rFonts w:ascii="Times New Roman" w:hAnsi="Times New Roman" w:cs="Times New Roman"/>
          <w:b/>
          <w:bCs/>
          <w:i/>
          <w:sz w:val="24"/>
          <w:szCs w:val="24"/>
        </w:rPr>
      </w:pPr>
    </w:p>
    <w:p w:rsidR="00331500" w:rsidRPr="00331500" w:rsidRDefault="00331500" w:rsidP="00331500">
      <w:pPr>
        <w:spacing w:after="0" w:line="360" w:lineRule="auto"/>
        <w:jc w:val="both"/>
        <w:rPr>
          <w:rFonts w:ascii="Times New Roman" w:hAnsi="Times New Roman" w:cs="Times New Roman"/>
          <w:b/>
          <w:bCs/>
          <w:i/>
          <w:sz w:val="24"/>
          <w:szCs w:val="24"/>
        </w:rPr>
      </w:pPr>
      <w:r w:rsidRPr="00331500">
        <w:rPr>
          <w:rFonts w:ascii="Times New Roman" w:hAnsi="Times New Roman" w:cs="Times New Roman"/>
          <w:b/>
          <w:bCs/>
          <w:i/>
          <w:sz w:val="24"/>
          <w:szCs w:val="24"/>
        </w:rPr>
        <w:t>Abstract</w:t>
      </w:r>
    </w:p>
    <w:p w:rsidR="008B7C69" w:rsidRPr="00331500" w:rsidRDefault="008B7C69" w:rsidP="00331500">
      <w:pPr>
        <w:spacing w:after="0" w:line="360" w:lineRule="auto"/>
        <w:jc w:val="both"/>
        <w:rPr>
          <w:rFonts w:ascii="Times New Roman" w:hAnsi="Times New Roman" w:cs="Times New Roman"/>
          <w:bCs/>
          <w:i/>
          <w:sz w:val="24"/>
          <w:szCs w:val="24"/>
        </w:rPr>
      </w:pPr>
      <w:r w:rsidRPr="00331500">
        <w:rPr>
          <w:rFonts w:ascii="Times New Roman" w:hAnsi="Times New Roman" w:cs="Times New Roman"/>
          <w:bCs/>
          <w:i/>
          <w:sz w:val="24"/>
          <w:szCs w:val="24"/>
        </w:rPr>
        <w:t>Inte</w:t>
      </w:r>
      <w:r w:rsidR="00563DF8" w:rsidRPr="00331500">
        <w:rPr>
          <w:rFonts w:ascii="Times New Roman" w:hAnsi="Times New Roman" w:cs="Times New Roman"/>
          <w:bCs/>
          <w:i/>
          <w:sz w:val="24"/>
          <w:szCs w:val="24"/>
        </w:rPr>
        <w:t>rnational and European Law for protection against d</w:t>
      </w:r>
      <w:r w:rsidRPr="00331500">
        <w:rPr>
          <w:rFonts w:ascii="Times New Roman" w:hAnsi="Times New Roman" w:cs="Times New Roman"/>
          <w:bCs/>
          <w:i/>
          <w:sz w:val="24"/>
          <w:szCs w:val="24"/>
        </w:rPr>
        <w:t>iscrimination provides that persons in similar situations should be treated equally and not be subject to unfavorable treatment solely because they have a particular characteristic, which is "subject to protection".</w:t>
      </w:r>
    </w:p>
    <w:p w:rsidR="008B7C69" w:rsidRPr="00331500" w:rsidRDefault="008B7C69" w:rsidP="00331500">
      <w:pPr>
        <w:spacing w:after="0" w:line="360" w:lineRule="auto"/>
        <w:jc w:val="both"/>
        <w:rPr>
          <w:rFonts w:ascii="Times New Roman" w:hAnsi="Times New Roman" w:cs="Times New Roman"/>
          <w:bCs/>
          <w:i/>
          <w:sz w:val="24"/>
          <w:szCs w:val="24"/>
        </w:rPr>
      </w:pPr>
      <w:r w:rsidRPr="00331500">
        <w:rPr>
          <w:rFonts w:ascii="Times New Roman" w:hAnsi="Times New Roman" w:cs="Times New Roman"/>
          <w:bCs/>
          <w:i/>
          <w:sz w:val="24"/>
          <w:szCs w:val="24"/>
        </w:rPr>
        <w:t xml:space="preserve">The article examines various categories of discrimination set out in European legislation and in the practice of the Court of Justice and the European Court of Human Rights, </w:t>
      </w:r>
      <w:r w:rsidRPr="00331500">
        <w:rPr>
          <w:rFonts w:ascii="Times New Roman" w:hAnsi="Times New Roman" w:cs="Times New Roman"/>
          <w:bCs/>
          <w:i/>
          <w:sz w:val="24"/>
          <w:szCs w:val="24"/>
          <w:lang w:val="bg-BG"/>
        </w:rPr>
        <w:t>а</w:t>
      </w:r>
      <w:r w:rsidRPr="00331500">
        <w:rPr>
          <w:rFonts w:ascii="Times New Roman" w:hAnsi="Times New Roman" w:cs="Times New Roman"/>
          <w:bCs/>
          <w:i/>
          <w:sz w:val="24"/>
          <w:szCs w:val="24"/>
        </w:rPr>
        <w:t>s identifying various mechanisms of protection against discrimination.</w:t>
      </w:r>
    </w:p>
    <w:p w:rsidR="008B7C69" w:rsidRPr="00331500" w:rsidRDefault="008B7C69" w:rsidP="00331500">
      <w:pPr>
        <w:spacing w:after="0" w:line="360" w:lineRule="auto"/>
        <w:ind w:firstLine="709"/>
        <w:jc w:val="both"/>
        <w:rPr>
          <w:rFonts w:ascii="Times New Roman" w:hAnsi="Times New Roman" w:cs="Times New Roman"/>
          <w:bCs/>
          <w:i/>
          <w:sz w:val="24"/>
          <w:szCs w:val="24"/>
        </w:rPr>
      </w:pPr>
    </w:p>
    <w:p w:rsidR="006F2A05" w:rsidRPr="00331500" w:rsidRDefault="006F2A05" w:rsidP="00331500">
      <w:pPr>
        <w:spacing w:after="0" w:line="360" w:lineRule="auto"/>
        <w:ind w:firstLine="708"/>
        <w:jc w:val="both"/>
        <w:rPr>
          <w:rFonts w:ascii="Times New Roman" w:hAnsi="Times New Roman" w:cs="Times New Roman"/>
          <w:bCs/>
        </w:rPr>
      </w:pPr>
    </w:p>
    <w:p w:rsidR="006F2A05" w:rsidRPr="00331500" w:rsidRDefault="006F2A05" w:rsidP="00331500">
      <w:pPr>
        <w:spacing w:after="0" w:line="360" w:lineRule="auto"/>
        <w:ind w:firstLine="708"/>
        <w:jc w:val="both"/>
        <w:rPr>
          <w:rFonts w:ascii="Times New Roman" w:hAnsi="Times New Roman" w:cs="Times New Roman"/>
          <w:bCs/>
          <w:sz w:val="24"/>
          <w:szCs w:val="24"/>
        </w:rPr>
      </w:pPr>
    </w:p>
    <w:p w:rsidR="006F2A05" w:rsidRPr="00331500" w:rsidRDefault="006F2A05" w:rsidP="00331500">
      <w:pPr>
        <w:spacing w:after="0" w:line="360" w:lineRule="auto"/>
        <w:ind w:firstLine="708"/>
        <w:jc w:val="both"/>
        <w:rPr>
          <w:rFonts w:ascii="Times New Roman" w:hAnsi="Times New Roman" w:cs="Times New Roman"/>
          <w:bCs/>
        </w:rPr>
      </w:pPr>
    </w:p>
    <w:p w:rsidR="006F0A41" w:rsidRPr="00331500" w:rsidRDefault="006F0A41" w:rsidP="00331500">
      <w:pPr>
        <w:spacing w:after="0" w:line="360" w:lineRule="auto"/>
        <w:jc w:val="both"/>
        <w:rPr>
          <w:rFonts w:ascii="Times New Roman" w:hAnsi="Times New Roman" w:cs="Times New Roman"/>
          <w:sz w:val="24"/>
          <w:szCs w:val="24"/>
          <w:lang w:val="bg-BG"/>
        </w:rPr>
      </w:pPr>
    </w:p>
    <w:p w:rsidR="006F0A41" w:rsidRPr="00331500" w:rsidRDefault="006F0A41" w:rsidP="00331500">
      <w:pPr>
        <w:spacing w:after="0" w:line="360" w:lineRule="auto"/>
        <w:ind w:firstLine="708"/>
        <w:jc w:val="both"/>
        <w:rPr>
          <w:rFonts w:ascii="Times New Roman" w:hAnsi="Times New Roman" w:cs="Times New Roman"/>
          <w:sz w:val="24"/>
          <w:szCs w:val="24"/>
        </w:rPr>
      </w:pPr>
      <w:r w:rsidRPr="00331500">
        <w:rPr>
          <w:rFonts w:ascii="Times New Roman" w:hAnsi="Times New Roman" w:cs="Times New Roman"/>
          <w:sz w:val="24"/>
          <w:szCs w:val="24"/>
          <w:lang w:val="bg-BG"/>
        </w:rPr>
        <w:lastRenderedPageBreak/>
        <w:t>С вли</w:t>
      </w:r>
      <w:r w:rsidRPr="00331500">
        <w:rPr>
          <w:rFonts w:ascii="Times New Roman" w:hAnsi="Times New Roman" w:cs="Times New Roman"/>
          <w:sz w:val="24"/>
          <w:szCs w:val="24"/>
        </w:rPr>
        <w:t>зането в сила на Договора от Лисабон, Хартата на основните права на Европейския съюз стана правно задължителен документ. Освен това Договорът от Лисабон предвижда присъединяването на ЕС към Европейската конвенция за защита правата на човека и основните свободи. В този контекст по-доброто познаване на общите принципи, разработени от Съда на Европейския съюз и Европейския съд по правата на човека, е не само желателно, но на практика необходимо за правилното прилагане на национално равнище на един ключов аспект на европейското право по правата на човека: стандартите за недискриминация.</w:t>
      </w:r>
    </w:p>
    <w:p w:rsidR="006F0A41" w:rsidRPr="00331500" w:rsidRDefault="006F0A41" w:rsidP="00331500">
      <w:pPr>
        <w:spacing w:after="0" w:line="360" w:lineRule="auto"/>
        <w:ind w:firstLine="709"/>
        <w:jc w:val="both"/>
        <w:rPr>
          <w:rFonts w:ascii="Times New Roman" w:hAnsi="Times New Roman" w:cs="Times New Roman"/>
          <w:sz w:val="24"/>
          <w:szCs w:val="24"/>
          <w:lang w:val="bg-BG"/>
        </w:rPr>
      </w:pPr>
      <w:r w:rsidRPr="00331500">
        <w:rPr>
          <w:rFonts w:ascii="Times New Roman" w:hAnsi="Times New Roman" w:cs="Times New Roman"/>
          <w:sz w:val="24"/>
          <w:szCs w:val="24"/>
          <w:lang w:val="bg-BG"/>
        </w:rPr>
        <w:t>Всички граждани на ЕС</w:t>
      </w:r>
      <w:r w:rsidRPr="00331500">
        <w:rPr>
          <w:rFonts w:ascii="Times New Roman" w:hAnsi="Times New Roman" w:cs="Times New Roman"/>
          <w:sz w:val="24"/>
          <w:szCs w:val="24"/>
        </w:rPr>
        <w:t xml:space="preserve"> са задължени да прилагат мерките за защита, предвидени в Европейската конвенция за защита правата на човека и основните свободи (ЕКЗПЧОС)</w:t>
      </w:r>
      <w:r w:rsidRPr="00331500">
        <w:rPr>
          <w:rFonts w:ascii="Times New Roman" w:hAnsi="Times New Roman" w:cs="Times New Roman"/>
          <w:sz w:val="24"/>
          <w:szCs w:val="24"/>
          <w:lang w:val="bg-BG"/>
        </w:rPr>
        <w:t xml:space="preserve"> </w:t>
      </w:r>
      <w:r w:rsidRPr="00331500">
        <w:rPr>
          <w:rFonts w:ascii="Times New Roman" w:hAnsi="Times New Roman" w:cs="Times New Roman"/>
          <w:sz w:val="24"/>
          <w:szCs w:val="24"/>
        </w:rPr>
        <w:t>и в директивите на Европейския съюз (ЕС) срещу дискриминацията, без значение дали някоя от страните в производството се позовава на тях. Действията</w:t>
      </w:r>
      <w:r w:rsidRPr="00331500">
        <w:rPr>
          <w:rFonts w:ascii="Times New Roman" w:hAnsi="Times New Roman" w:cs="Times New Roman"/>
          <w:sz w:val="24"/>
          <w:szCs w:val="24"/>
          <w:lang w:val="bg-BG"/>
        </w:rPr>
        <w:t xml:space="preserve"> </w:t>
      </w:r>
      <w:r w:rsidRPr="00331500">
        <w:rPr>
          <w:rFonts w:ascii="Times New Roman" w:hAnsi="Times New Roman" w:cs="Times New Roman"/>
          <w:sz w:val="24"/>
          <w:szCs w:val="24"/>
        </w:rPr>
        <w:t>на националните съдилища и правораздавателни органи не са ограничени до</w:t>
      </w:r>
      <w:r w:rsidRPr="00331500">
        <w:rPr>
          <w:rFonts w:ascii="Times New Roman" w:hAnsi="Times New Roman" w:cs="Times New Roman"/>
          <w:sz w:val="24"/>
          <w:szCs w:val="24"/>
          <w:lang w:val="bg-BG"/>
        </w:rPr>
        <w:t xml:space="preserve"> </w:t>
      </w:r>
      <w:r w:rsidRPr="00331500">
        <w:rPr>
          <w:rFonts w:ascii="Times New Roman" w:hAnsi="Times New Roman" w:cs="Times New Roman"/>
          <w:sz w:val="24"/>
          <w:szCs w:val="24"/>
        </w:rPr>
        <w:t>доводите на страните, а трябва да определят приложимите правни норми въз</w:t>
      </w:r>
      <w:r w:rsidRPr="00331500">
        <w:rPr>
          <w:rFonts w:ascii="Times New Roman" w:hAnsi="Times New Roman" w:cs="Times New Roman"/>
          <w:sz w:val="24"/>
          <w:szCs w:val="24"/>
          <w:lang w:val="bg-BG"/>
        </w:rPr>
        <w:t xml:space="preserve"> </w:t>
      </w:r>
      <w:r w:rsidRPr="00331500">
        <w:rPr>
          <w:rFonts w:ascii="Times New Roman" w:hAnsi="Times New Roman" w:cs="Times New Roman"/>
          <w:sz w:val="24"/>
          <w:szCs w:val="24"/>
        </w:rPr>
        <w:t>основа на изложените от страните фактически обстоятелства; това означава,</w:t>
      </w:r>
      <w:r w:rsidRPr="00331500">
        <w:rPr>
          <w:rFonts w:ascii="Times New Roman" w:hAnsi="Times New Roman" w:cs="Times New Roman"/>
          <w:sz w:val="24"/>
          <w:szCs w:val="24"/>
          <w:lang w:val="bg-BG"/>
        </w:rPr>
        <w:t xml:space="preserve"> </w:t>
      </w:r>
      <w:r w:rsidRPr="00331500">
        <w:rPr>
          <w:rFonts w:ascii="Times New Roman" w:hAnsi="Times New Roman" w:cs="Times New Roman"/>
          <w:sz w:val="24"/>
          <w:szCs w:val="24"/>
        </w:rPr>
        <w:t>че страните по едно дело на практика определят дали да предявят претенция</w:t>
      </w:r>
      <w:r w:rsidRPr="00331500">
        <w:rPr>
          <w:rFonts w:ascii="Times New Roman" w:hAnsi="Times New Roman" w:cs="Times New Roman"/>
          <w:sz w:val="24"/>
          <w:szCs w:val="24"/>
          <w:lang w:val="bg-BG"/>
        </w:rPr>
        <w:t xml:space="preserve"> </w:t>
      </w:r>
      <w:r w:rsidRPr="00331500">
        <w:rPr>
          <w:rFonts w:ascii="Times New Roman" w:hAnsi="Times New Roman" w:cs="Times New Roman"/>
          <w:sz w:val="24"/>
          <w:szCs w:val="24"/>
        </w:rPr>
        <w:t>за дискриминация чрез доводите и доказателствата, които привеждат.</w:t>
      </w:r>
      <w:r w:rsidRPr="00331500">
        <w:rPr>
          <w:rFonts w:ascii="Times New Roman" w:hAnsi="Times New Roman" w:cs="Times New Roman"/>
          <w:sz w:val="24"/>
          <w:szCs w:val="24"/>
          <w:lang w:val="bg-BG"/>
        </w:rPr>
        <w:t xml:space="preserve"> </w:t>
      </w:r>
      <w:r w:rsidRPr="00331500">
        <w:rPr>
          <w:rFonts w:ascii="Times New Roman" w:hAnsi="Times New Roman" w:cs="Times New Roman"/>
          <w:sz w:val="24"/>
          <w:szCs w:val="24"/>
        </w:rPr>
        <w:t>Това произтича от основните правни принципи, заложени във всяка от съответните</w:t>
      </w:r>
      <w:r w:rsidRPr="00331500">
        <w:rPr>
          <w:rFonts w:ascii="Times New Roman" w:hAnsi="Times New Roman" w:cs="Times New Roman"/>
          <w:sz w:val="24"/>
          <w:szCs w:val="24"/>
          <w:lang w:val="bg-BG"/>
        </w:rPr>
        <w:t xml:space="preserve"> </w:t>
      </w:r>
      <w:r w:rsidRPr="00331500">
        <w:rPr>
          <w:rFonts w:ascii="Times New Roman" w:hAnsi="Times New Roman" w:cs="Times New Roman"/>
          <w:sz w:val="24"/>
          <w:szCs w:val="24"/>
        </w:rPr>
        <w:t>системи, като например прякото действие на правото на ЕС в 2</w:t>
      </w:r>
      <w:r w:rsidRPr="00331500">
        <w:rPr>
          <w:rFonts w:ascii="Times New Roman" w:hAnsi="Times New Roman" w:cs="Times New Roman"/>
          <w:sz w:val="24"/>
          <w:szCs w:val="24"/>
          <w:lang w:val="bg-BG"/>
        </w:rPr>
        <w:t>8</w:t>
      </w:r>
      <w:r w:rsidRPr="00331500">
        <w:rPr>
          <w:rFonts w:ascii="Times New Roman" w:hAnsi="Times New Roman" w:cs="Times New Roman"/>
          <w:sz w:val="24"/>
          <w:szCs w:val="24"/>
        </w:rPr>
        <w:t>-те</w:t>
      </w:r>
      <w:r w:rsidRPr="00331500">
        <w:rPr>
          <w:rFonts w:ascii="Times New Roman" w:hAnsi="Times New Roman" w:cs="Times New Roman"/>
          <w:sz w:val="24"/>
          <w:szCs w:val="24"/>
          <w:lang w:val="bg-BG"/>
        </w:rPr>
        <w:t xml:space="preserve"> </w:t>
      </w:r>
      <w:r w:rsidRPr="00331500">
        <w:rPr>
          <w:rFonts w:ascii="Times New Roman" w:hAnsi="Times New Roman" w:cs="Times New Roman"/>
          <w:sz w:val="24"/>
          <w:szCs w:val="24"/>
        </w:rPr>
        <w:t>държави</w:t>
      </w:r>
      <w:r w:rsidRPr="00331500">
        <w:rPr>
          <w:rFonts w:ascii="Times New Roman" w:hAnsi="Times New Roman" w:cs="Times New Roman"/>
          <w:sz w:val="24"/>
          <w:szCs w:val="24"/>
        </w:rPr>
        <w:noBreakHyphen/>
        <w:t>членки на ЕС, както и пряката приложимост на ЕКЗПЧОС, което</w:t>
      </w:r>
      <w:r w:rsidRPr="00331500">
        <w:rPr>
          <w:rFonts w:ascii="Times New Roman" w:hAnsi="Times New Roman" w:cs="Times New Roman"/>
          <w:sz w:val="24"/>
          <w:szCs w:val="24"/>
          <w:lang w:val="bg-BG"/>
        </w:rPr>
        <w:t xml:space="preserve"> </w:t>
      </w:r>
      <w:r w:rsidRPr="00331500">
        <w:rPr>
          <w:rFonts w:ascii="Times New Roman" w:hAnsi="Times New Roman" w:cs="Times New Roman"/>
          <w:sz w:val="24"/>
          <w:szCs w:val="24"/>
        </w:rPr>
        <w:t>означава, че конвенцията трябва да се спазва във всички държави</w:t>
      </w:r>
      <w:r w:rsidRPr="00331500">
        <w:rPr>
          <w:rFonts w:ascii="Times New Roman" w:hAnsi="Times New Roman" w:cs="Times New Roman"/>
          <w:sz w:val="24"/>
          <w:szCs w:val="24"/>
        </w:rPr>
        <w:noBreakHyphen/>
        <w:t>членки на ЕС</w:t>
      </w:r>
      <w:r w:rsidRPr="00331500">
        <w:rPr>
          <w:rFonts w:ascii="Times New Roman" w:hAnsi="Times New Roman" w:cs="Times New Roman"/>
          <w:sz w:val="24"/>
          <w:szCs w:val="24"/>
          <w:lang w:val="bg-BG"/>
        </w:rPr>
        <w:t xml:space="preserve"> </w:t>
      </w:r>
      <w:r w:rsidRPr="00331500">
        <w:rPr>
          <w:rFonts w:ascii="Times New Roman" w:hAnsi="Times New Roman" w:cs="Times New Roman"/>
          <w:sz w:val="24"/>
          <w:szCs w:val="24"/>
        </w:rPr>
        <w:t>и на Съвета на Европа. Съществува обаче едно съществено ограничение на това</w:t>
      </w:r>
      <w:r w:rsidRPr="00331500">
        <w:rPr>
          <w:rFonts w:ascii="Times New Roman" w:hAnsi="Times New Roman" w:cs="Times New Roman"/>
          <w:sz w:val="24"/>
          <w:szCs w:val="24"/>
          <w:lang w:val="bg-BG"/>
        </w:rPr>
        <w:t xml:space="preserve"> </w:t>
      </w:r>
      <w:r w:rsidRPr="00331500">
        <w:rPr>
          <w:rFonts w:ascii="Times New Roman" w:hAnsi="Times New Roman" w:cs="Times New Roman"/>
          <w:sz w:val="24"/>
          <w:szCs w:val="24"/>
        </w:rPr>
        <w:t xml:space="preserve">изискване, което се изразява в приложимите давностни срокове. Практическото последствие от това е, че </w:t>
      </w:r>
      <w:r w:rsidRPr="00331500">
        <w:rPr>
          <w:rFonts w:ascii="Times New Roman" w:hAnsi="Times New Roman" w:cs="Times New Roman"/>
          <w:sz w:val="24"/>
          <w:szCs w:val="24"/>
          <w:lang w:val="bg-BG"/>
        </w:rPr>
        <w:t>в определени случаи гражданите</w:t>
      </w:r>
      <w:r w:rsidRPr="00331500">
        <w:rPr>
          <w:rFonts w:ascii="Times New Roman" w:hAnsi="Times New Roman" w:cs="Times New Roman"/>
          <w:sz w:val="24"/>
          <w:szCs w:val="24"/>
        </w:rPr>
        <w:t xml:space="preserve"> могат при необходимост да се позоват на приложимите правни инструменти срещу</w:t>
      </w:r>
      <w:r w:rsidRPr="00331500">
        <w:rPr>
          <w:rFonts w:ascii="Times New Roman" w:hAnsi="Times New Roman" w:cs="Times New Roman"/>
          <w:sz w:val="24"/>
          <w:szCs w:val="24"/>
          <w:lang w:val="bg-BG"/>
        </w:rPr>
        <w:t xml:space="preserve"> </w:t>
      </w:r>
      <w:r w:rsidRPr="00331500">
        <w:rPr>
          <w:rFonts w:ascii="Times New Roman" w:hAnsi="Times New Roman" w:cs="Times New Roman"/>
          <w:sz w:val="24"/>
          <w:szCs w:val="24"/>
        </w:rPr>
        <w:t>дискриминацията и съдебната практика в тази област пред националните</w:t>
      </w:r>
      <w:r w:rsidRPr="00331500">
        <w:rPr>
          <w:rFonts w:ascii="Times New Roman" w:hAnsi="Times New Roman" w:cs="Times New Roman"/>
          <w:sz w:val="24"/>
          <w:szCs w:val="24"/>
          <w:lang w:val="bg-BG"/>
        </w:rPr>
        <w:t xml:space="preserve"> </w:t>
      </w:r>
      <w:r w:rsidRPr="00331500">
        <w:rPr>
          <w:rFonts w:ascii="Times New Roman" w:hAnsi="Times New Roman" w:cs="Times New Roman"/>
          <w:sz w:val="24"/>
          <w:szCs w:val="24"/>
        </w:rPr>
        <w:t>съдилища и органи.</w:t>
      </w:r>
      <w:r w:rsidRPr="00331500">
        <w:rPr>
          <w:rFonts w:ascii="Times New Roman" w:hAnsi="Times New Roman" w:cs="Times New Roman"/>
          <w:sz w:val="24"/>
          <w:szCs w:val="24"/>
          <w:lang w:val="bg-BG"/>
        </w:rPr>
        <w:t xml:space="preserve"> Ето защо е изключително важно </w:t>
      </w:r>
      <w:r w:rsidRPr="00331500">
        <w:rPr>
          <w:rFonts w:ascii="Times New Roman" w:hAnsi="Times New Roman" w:cs="Times New Roman"/>
          <w:sz w:val="24"/>
          <w:szCs w:val="24"/>
        </w:rPr>
        <w:t xml:space="preserve">да </w:t>
      </w:r>
      <w:r w:rsidRPr="00331500">
        <w:rPr>
          <w:rFonts w:ascii="Times New Roman" w:hAnsi="Times New Roman" w:cs="Times New Roman"/>
          <w:sz w:val="24"/>
          <w:szCs w:val="24"/>
          <w:lang w:val="bg-BG"/>
        </w:rPr>
        <w:t>бъдем детайлмо запознати с</w:t>
      </w:r>
      <w:r w:rsidRPr="00331500">
        <w:rPr>
          <w:rFonts w:ascii="Times New Roman" w:hAnsi="Times New Roman" w:cs="Times New Roman"/>
          <w:sz w:val="24"/>
          <w:szCs w:val="24"/>
        </w:rPr>
        <w:t xml:space="preserve"> действащите системи</w:t>
      </w:r>
      <w:r w:rsidRPr="00331500">
        <w:rPr>
          <w:rFonts w:ascii="Times New Roman" w:hAnsi="Times New Roman" w:cs="Times New Roman"/>
          <w:sz w:val="24"/>
          <w:szCs w:val="24"/>
          <w:lang w:val="bg-BG"/>
        </w:rPr>
        <w:t xml:space="preserve"> </w:t>
      </w:r>
      <w:r w:rsidRPr="00331500">
        <w:rPr>
          <w:rFonts w:ascii="Times New Roman" w:hAnsi="Times New Roman" w:cs="Times New Roman"/>
          <w:sz w:val="24"/>
          <w:szCs w:val="24"/>
        </w:rPr>
        <w:t>в областта на защитата от дискриминация, тяхното прилагане и начините, по</w:t>
      </w:r>
      <w:r w:rsidRPr="00331500">
        <w:rPr>
          <w:rFonts w:ascii="Times New Roman" w:hAnsi="Times New Roman" w:cs="Times New Roman"/>
          <w:sz w:val="24"/>
          <w:szCs w:val="24"/>
          <w:lang w:val="bg-BG"/>
        </w:rPr>
        <w:t xml:space="preserve"> </w:t>
      </w:r>
      <w:r w:rsidRPr="00331500">
        <w:rPr>
          <w:rFonts w:ascii="Times New Roman" w:hAnsi="Times New Roman" w:cs="Times New Roman"/>
          <w:sz w:val="24"/>
          <w:szCs w:val="24"/>
        </w:rPr>
        <w:t>които те се прилагат в конкретни ситуации</w:t>
      </w:r>
      <w:r w:rsidRPr="00331500">
        <w:rPr>
          <w:rFonts w:ascii="Times New Roman" w:hAnsi="Times New Roman" w:cs="Times New Roman"/>
          <w:sz w:val="24"/>
          <w:szCs w:val="24"/>
          <w:lang w:val="bg-BG"/>
        </w:rPr>
        <w:t>.</w:t>
      </w:r>
    </w:p>
    <w:p w:rsidR="006F0A41" w:rsidRPr="00331500" w:rsidRDefault="006F0A41" w:rsidP="00331500">
      <w:pPr>
        <w:spacing w:after="0" w:line="360" w:lineRule="auto"/>
        <w:ind w:firstLine="709"/>
        <w:jc w:val="both"/>
        <w:rPr>
          <w:rFonts w:ascii="Times New Roman" w:hAnsi="Times New Roman" w:cs="Times New Roman"/>
          <w:sz w:val="24"/>
          <w:szCs w:val="24"/>
        </w:rPr>
      </w:pPr>
      <w:r w:rsidRPr="00331500">
        <w:rPr>
          <w:rFonts w:ascii="Times New Roman" w:hAnsi="Times New Roman" w:cs="Times New Roman"/>
          <w:sz w:val="24"/>
          <w:szCs w:val="24"/>
        </w:rPr>
        <w:t>Понятието „европейско право в областта на дискриминацията“подсказва наличието на единна европейска система от норм</w:t>
      </w:r>
      <w:r w:rsidR="00621A8D" w:rsidRPr="00331500">
        <w:rPr>
          <w:rFonts w:ascii="Times New Roman" w:hAnsi="Times New Roman" w:cs="Times New Roman"/>
          <w:sz w:val="24"/>
          <w:szCs w:val="24"/>
        </w:rPr>
        <w:t xml:space="preserve">и, свързани с недискриминацията. </w:t>
      </w:r>
      <w:r w:rsidR="00621A8D" w:rsidRPr="00331500">
        <w:rPr>
          <w:rFonts w:ascii="Times New Roman" w:hAnsi="Times New Roman" w:cs="Times New Roman"/>
          <w:sz w:val="24"/>
          <w:szCs w:val="24"/>
          <w:lang w:val="bg-BG"/>
        </w:rPr>
        <w:t xml:space="preserve"> Антидискриминационното право </w:t>
      </w:r>
      <w:r w:rsidRPr="00331500">
        <w:rPr>
          <w:rFonts w:ascii="Times New Roman" w:hAnsi="Times New Roman" w:cs="Times New Roman"/>
          <w:sz w:val="24"/>
          <w:szCs w:val="24"/>
        </w:rPr>
        <w:t>право се състои от разнообразни източници.</w:t>
      </w:r>
    </w:p>
    <w:p w:rsidR="00331500" w:rsidRDefault="006F0A41" w:rsidP="00331500">
      <w:pPr>
        <w:spacing w:after="0" w:line="360" w:lineRule="auto"/>
        <w:ind w:firstLine="709"/>
        <w:jc w:val="both"/>
        <w:rPr>
          <w:rFonts w:ascii="Times New Roman" w:hAnsi="Times New Roman" w:cs="Times New Roman"/>
          <w:sz w:val="24"/>
          <w:szCs w:val="24"/>
        </w:rPr>
      </w:pPr>
      <w:r w:rsidRPr="00331500">
        <w:rPr>
          <w:rFonts w:ascii="Times New Roman" w:hAnsi="Times New Roman" w:cs="Times New Roman"/>
          <w:sz w:val="24"/>
          <w:szCs w:val="24"/>
        </w:rPr>
        <w:t xml:space="preserve">Проблемът за равнопоставеността и ограничаването на различните форми на дискриминация придобива особена актуалност в контекста на съвременните международни стандарти и норми, които определят и институционалната рамка на модерните антидискриминационни политики. </w:t>
      </w:r>
    </w:p>
    <w:p w:rsidR="006F0A41" w:rsidRPr="00331500" w:rsidRDefault="006F0A41" w:rsidP="00331500">
      <w:pPr>
        <w:spacing w:after="0" w:line="360" w:lineRule="auto"/>
        <w:ind w:firstLine="709"/>
        <w:jc w:val="both"/>
        <w:rPr>
          <w:rFonts w:ascii="Times New Roman" w:hAnsi="Times New Roman" w:cs="Times New Roman"/>
          <w:sz w:val="24"/>
          <w:szCs w:val="24"/>
        </w:rPr>
      </w:pPr>
      <w:r w:rsidRPr="00331500">
        <w:rPr>
          <w:rFonts w:ascii="Times New Roman" w:hAnsi="Times New Roman" w:cs="Times New Roman"/>
          <w:sz w:val="24"/>
          <w:szCs w:val="24"/>
        </w:rPr>
        <w:lastRenderedPageBreak/>
        <w:t>Дискриминацията като социално</w:t>
      </w:r>
      <w:r w:rsidRPr="00331500">
        <w:rPr>
          <w:rFonts w:ascii="Times New Roman" w:hAnsi="Times New Roman" w:cs="Times New Roman"/>
          <w:sz w:val="20"/>
          <w:szCs w:val="20"/>
          <w:lang w:val="bg-BG"/>
        </w:rPr>
        <w:t xml:space="preserve"> </w:t>
      </w:r>
      <w:r w:rsidRPr="00331500">
        <w:rPr>
          <w:rFonts w:ascii="Times New Roman" w:hAnsi="Times New Roman" w:cs="Times New Roman"/>
          <w:sz w:val="24"/>
          <w:szCs w:val="24"/>
          <w:lang w:val="bg-BG"/>
        </w:rPr>
        <w:t xml:space="preserve">явление </w:t>
      </w:r>
      <w:r w:rsidRPr="00331500">
        <w:rPr>
          <w:rFonts w:ascii="Times New Roman" w:hAnsi="Times New Roman" w:cs="Times New Roman"/>
          <w:sz w:val="24"/>
          <w:szCs w:val="24"/>
        </w:rPr>
        <w:t>не дава равни възможности за социализация и за нормална реализация на индивида в личностен и обществен план. Съвременната модерна демокрация се стреми към единен комплекс от “справедливи равенства”, включващ: а) юридико-политическо равенство; б) социално равенство; в</w:t>
      </w:r>
      <w:proofErr w:type="gramStart"/>
      <w:r w:rsidRPr="00331500">
        <w:rPr>
          <w:rFonts w:ascii="Times New Roman" w:hAnsi="Times New Roman" w:cs="Times New Roman"/>
          <w:sz w:val="24"/>
          <w:szCs w:val="24"/>
        </w:rPr>
        <w:t>)равенство</w:t>
      </w:r>
      <w:proofErr w:type="gramEnd"/>
      <w:r w:rsidRPr="00331500">
        <w:rPr>
          <w:rFonts w:ascii="Times New Roman" w:hAnsi="Times New Roman" w:cs="Times New Roman"/>
          <w:sz w:val="24"/>
          <w:szCs w:val="24"/>
        </w:rPr>
        <w:t xml:space="preserve"> на възможностите (равен старт и равен достъп); г) икономическо равенство. </w:t>
      </w:r>
    </w:p>
    <w:p w:rsidR="006F0A41" w:rsidRPr="00331500" w:rsidRDefault="006F0A41" w:rsidP="00331500">
      <w:pPr>
        <w:spacing w:after="0" w:line="360" w:lineRule="auto"/>
        <w:ind w:firstLine="708"/>
        <w:jc w:val="both"/>
        <w:rPr>
          <w:rFonts w:ascii="Times New Roman" w:hAnsi="Times New Roman" w:cs="Times New Roman"/>
          <w:sz w:val="24"/>
          <w:szCs w:val="24"/>
        </w:rPr>
      </w:pPr>
      <w:r w:rsidRPr="00331500">
        <w:rPr>
          <w:rFonts w:ascii="Times New Roman" w:hAnsi="Times New Roman" w:cs="Times New Roman"/>
          <w:sz w:val="24"/>
          <w:szCs w:val="24"/>
        </w:rPr>
        <w:t xml:space="preserve">Актовете на ООН създават т.нар. </w:t>
      </w:r>
      <w:proofErr w:type="gramStart"/>
      <w:r w:rsidRPr="00331500">
        <w:rPr>
          <w:rFonts w:ascii="Times New Roman" w:hAnsi="Times New Roman" w:cs="Times New Roman"/>
          <w:sz w:val="24"/>
          <w:szCs w:val="24"/>
        </w:rPr>
        <w:t>универсална</w:t>
      </w:r>
      <w:proofErr w:type="gramEnd"/>
      <w:r w:rsidRPr="00331500">
        <w:rPr>
          <w:rFonts w:ascii="Times New Roman" w:hAnsi="Times New Roman" w:cs="Times New Roman"/>
          <w:sz w:val="24"/>
          <w:szCs w:val="24"/>
        </w:rPr>
        <w:t xml:space="preserve"> система за защита на правата на човека, чиито предели не са географски ограничени поради универсалния характер на организацията. Паралелно с изграждането и укрепването на тази система се създават и регионални системи в Европа, Америка и Африка.</w:t>
      </w:r>
    </w:p>
    <w:p w:rsidR="006F0A41" w:rsidRPr="00331500" w:rsidRDefault="006F0A41" w:rsidP="00331500">
      <w:pPr>
        <w:spacing w:after="0" w:line="360" w:lineRule="auto"/>
        <w:ind w:firstLine="708"/>
        <w:jc w:val="both"/>
        <w:rPr>
          <w:rFonts w:ascii="Times New Roman" w:hAnsi="Times New Roman" w:cs="Times New Roman"/>
          <w:sz w:val="24"/>
          <w:szCs w:val="24"/>
        </w:rPr>
      </w:pPr>
      <w:r w:rsidRPr="00331500">
        <w:rPr>
          <w:rFonts w:ascii="Times New Roman" w:hAnsi="Times New Roman" w:cs="Times New Roman"/>
          <w:sz w:val="24"/>
          <w:szCs w:val="24"/>
        </w:rPr>
        <w:t>Първата регионална система – Европейската, е създадена в рамките на Съвета на Европа през 1949 г. и се развива главно на основата на ЕКЧП, Европейската социална харта и практиката на ЕСПЧ, както и на редица конвенции, сред които Рамковата конвенция за защита на националните малцинства от 1995 г., Европейската конвенция за предотвратяване на изтезанията и нечовешко или унизително третиране или наказание от 1987 г., Европейската конвенция относно упражн</w:t>
      </w:r>
      <w:r w:rsidR="00F476E7" w:rsidRPr="00331500">
        <w:rPr>
          <w:rFonts w:ascii="Times New Roman" w:hAnsi="Times New Roman" w:cs="Times New Roman"/>
          <w:sz w:val="24"/>
          <w:szCs w:val="24"/>
        </w:rPr>
        <w:t>яването на правата на детето от</w:t>
      </w:r>
      <w:r w:rsidR="00621A8D" w:rsidRPr="00331500">
        <w:rPr>
          <w:rFonts w:ascii="Times New Roman" w:hAnsi="Times New Roman" w:cs="Times New Roman"/>
          <w:sz w:val="24"/>
          <w:szCs w:val="24"/>
          <w:lang w:val="bg-BG"/>
        </w:rPr>
        <w:t xml:space="preserve"> </w:t>
      </w:r>
      <w:r w:rsidRPr="00331500">
        <w:rPr>
          <w:rFonts w:ascii="Times New Roman" w:hAnsi="Times New Roman" w:cs="Times New Roman"/>
          <w:sz w:val="24"/>
          <w:szCs w:val="24"/>
        </w:rPr>
        <w:t>1996 г. и други.</w:t>
      </w:r>
    </w:p>
    <w:p w:rsidR="006F0A41" w:rsidRPr="00331500" w:rsidRDefault="006F0A41" w:rsidP="00331500">
      <w:pPr>
        <w:spacing w:after="0" w:line="360" w:lineRule="auto"/>
        <w:ind w:firstLine="708"/>
        <w:jc w:val="both"/>
        <w:rPr>
          <w:rFonts w:ascii="Times New Roman" w:hAnsi="Times New Roman" w:cs="Times New Roman"/>
          <w:sz w:val="24"/>
          <w:szCs w:val="24"/>
        </w:rPr>
      </w:pPr>
      <w:r w:rsidRPr="00331500">
        <w:rPr>
          <w:rFonts w:ascii="Times New Roman" w:hAnsi="Times New Roman" w:cs="Times New Roman"/>
          <w:sz w:val="24"/>
          <w:szCs w:val="24"/>
        </w:rPr>
        <w:t xml:space="preserve">По-нататък, с Хартата на нова Европа през 1990 г. е учредена Организацията за сигурност и сътрудничество в Европа, която установява регионална система на територията на Европа и Северна Америка (Канада и САЩ). </w:t>
      </w:r>
    </w:p>
    <w:p w:rsidR="006F0A41" w:rsidRPr="00331500" w:rsidRDefault="006F0A41" w:rsidP="00331500">
      <w:pPr>
        <w:spacing w:after="0" w:line="360" w:lineRule="auto"/>
        <w:ind w:firstLine="708"/>
        <w:jc w:val="both"/>
        <w:rPr>
          <w:rFonts w:ascii="Times New Roman" w:hAnsi="Times New Roman" w:cs="Times New Roman"/>
          <w:sz w:val="24"/>
          <w:szCs w:val="24"/>
        </w:rPr>
      </w:pPr>
      <w:r w:rsidRPr="00331500">
        <w:rPr>
          <w:rFonts w:ascii="Times New Roman" w:hAnsi="Times New Roman" w:cs="Times New Roman"/>
          <w:sz w:val="24"/>
          <w:szCs w:val="24"/>
        </w:rPr>
        <w:t>Трета регионална система се оформя от правото на ЕС в рамките на ЕС, което, особено след приемане на антидискриминационните директиви и Хартата за правата на човека от 2000 г. нататък, започва усилено изграждане на самостоятелна цялостна система от стандарти за защита на правата на човека, включително правото на равенство.</w:t>
      </w:r>
    </w:p>
    <w:p w:rsidR="006F0A41" w:rsidRPr="00331500" w:rsidRDefault="006F0A41" w:rsidP="00331500">
      <w:pPr>
        <w:spacing w:after="0" w:line="360" w:lineRule="auto"/>
        <w:ind w:firstLine="708"/>
        <w:jc w:val="both"/>
        <w:rPr>
          <w:rFonts w:ascii="Times New Roman" w:hAnsi="Times New Roman" w:cs="Times New Roman"/>
          <w:sz w:val="24"/>
          <w:szCs w:val="24"/>
        </w:rPr>
      </w:pPr>
      <w:r w:rsidRPr="00331500">
        <w:rPr>
          <w:rFonts w:ascii="Times New Roman" w:hAnsi="Times New Roman" w:cs="Times New Roman"/>
          <w:sz w:val="24"/>
          <w:szCs w:val="24"/>
        </w:rPr>
        <w:t>Цялостната стратегия на ЕС, насочена към ограничаване на дискриминацията обаче не може да бъде постигната без посредничеството на правното съзнание, което е свързващото звено между правото и поведението. Особено голямо е значението на антидискриминационното законодателство в контекста на Договора от Лисабон и обябяването на антидискриминационната политика на ЕС за основен приоритет на съюза, намиращ специфично отражение в националните стратегии на страните-членки, в т.ч. и Република България.</w:t>
      </w:r>
    </w:p>
    <w:p w:rsidR="00A53897" w:rsidRPr="00331500" w:rsidRDefault="00A53897" w:rsidP="00331500">
      <w:pPr>
        <w:spacing w:after="0" w:line="360" w:lineRule="auto"/>
        <w:ind w:firstLine="708"/>
        <w:jc w:val="both"/>
        <w:rPr>
          <w:rFonts w:ascii="Times New Roman" w:hAnsi="Times New Roman" w:cs="Times New Roman"/>
          <w:sz w:val="24"/>
          <w:szCs w:val="24"/>
        </w:rPr>
      </w:pPr>
    </w:p>
    <w:p w:rsidR="00A53897" w:rsidRPr="00331500" w:rsidRDefault="00A53897" w:rsidP="00331500">
      <w:pPr>
        <w:spacing w:after="0" w:line="360" w:lineRule="auto"/>
        <w:ind w:firstLine="708"/>
        <w:jc w:val="both"/>
        <w:rPr>
          <w:rFonts w:ascii="Times New Roman" w:hAnsi="Times New Roman" w:cs="Times New Roman"/>
          <w:sz w:val="24"/>
          <w:szCs w:val="24"/>
        </w:rPr>
      </w:pPr>
    </w:p>
    <w:p w:rsidR="00A53897" w:rsidRPr="00331500" w:rsidRDefault="00A53897" w:rsidP="00331500">
      <w:pPr>
        <w:spacing w:after="0" w:line="360" w:lineRule="auto"/>
        <w:ind w:firstLine="708"/>
        <w:jc w:val="both"/>
        <w:rPr>
          <w:rFonts w:ascii="Times New Roman" w:hAnsi="Times New Roman" w:cs="Times New Roman"/>
          <w:sz w:val="24"/>
          <w:szCs w:val="24"/>
        </w:rPr>
      </w:pPr>
    </w:p>
    <w:p w:rsidR="004A5563" w:rsidRPr="00331500" w:rsidRDefault="004A5563" w:rsidP="00331500">
      <w:pPr>
        <w:spacing w:after="0" w:line="360" w:lineRule="auto"/>
        <w:ind w:left="708"/>
        <w:jc w:val="both"/>
        <w:rPr>
          <w:rFonts w:ascii="Times New Roman" w:hAnsi="Times New Roman" w:cs="Times New Roman"/>
          <w:b/>
          <w:bCs/>
          <w:sz w:val="24"/>
          <w:szCs w:val="24"/>
        </w:rPr>
      </w:pPr>
      <w:r w:rsidRPr="00331500">
        <w:rPr>
          <w:rFonts w:ascii="Times New Roman" w:hAnsi="Times New Roman" w:cs="Times New Roman"/>
          <w:b/>
          <w:bCs/>
          <w:sz w:val="24"/>
          <w:szCs w:val="24"/>
        </w:rPr>
        <w:lastRenderedPageBreak/>
        <w:t>Категории дискриминация и защита срещу дискриминация според практиката на Съда на ЕС и Европейският съд по правата на човека</w:t>
      </w:r>
    </w:p>
    <w:p w:rsidR="004A5563" w:rsidRPr="00331500" w:rsidRDefault="004A5563" w:rsidP="00331500">
      <w:pPr>
        <w:pStyle w:val="ListParagraph"/>
        <w:spacing w:line="360" w:lineRule="auto"/>
        <w:ind w:left="1428"/>
        <w:jc w:val="both"/>
        <w:rPr>
          <w:rFonts w:eastAsiaTheme="minorHAnsi"/>
          <w:bCs/>
        </w:rPr>
      </w:pPr>
    </w:p>
    <w:p w:rsidR="004A5563" w:rsidRPr="00331500" w:rsidRDefault="004A5563" w:rsidP="00331500">
      <w:pPr>
        <w:spacing w:after="0" w:line="360" w:lineRule="auto"/>
        <w:ind w:firstLine="709"/>
        <w:jc w:val="both"/>
        <w:rPr>
          <w:rFonts w:ascii="Times New Roman" w:hAnsi="Times New Roman" w:cs="Times New Roman"/>
          <w:bCs/>
          <w:sz w:val="24"/>
          <w:szCs w:val="24"/>
        </w:rPr>
      </w:pPr>
      <w:r w:rsidRPr="00331500">
        <w:rPr>
          <w:rFonts w:ascii="Times New Roman" w:hAnsi="Times New Roman" w:cs="Times New Roman"/>
          <w:bCs/>
          <w:sz w:val="24"/>
          <w:szCs w:val="24"/>
        </w:rPr>
        <w:t xml:space="preserve">Целта на правото за защита срещу дискриминация е да гарантира на всички лица равнопоставеност и справедлива преспектива за достъп до възможностите в обществото. </w:t>
      </w:r>
      <w:r w:rsidR="00E6450C" w:rsidRPr="00331500">
        <w:rPr>
          <w:rFonts w:ascii="Times New Roman" w:hAnsi="Times New Roman" w:cs="Times New Roman"/>
          <w:bCs/>
          <w:sz w:val="24"/>
          <w:szCs w:val="24"/>
          <w:lang w:val="bg-BG"/>
        </w:rPr>
        <w:t>То</w:t>
      </w:r>
      <w:r w:rsidRPr="00331500">
        <w:rPr>
          <w:rFonts w:ascii="Times New Roman" w:hAnsi="Times New Roman" w:cs="Times New Roman"/>
          <w:bCs/>
          <w:sz w:val="24"/>
          <w:szCs w:val="24"/>
        </w:rPr>
        <w:t xml:space="preserve"> предвижда, че лицата, които са в сходно положение, следва да бъдат</w:t>
      </w:r>
      <w:r w:rsidRPr="00331500">
        <w:rPr>
          <w:rFonts w:ascii="Times New Roman" w:hAnsi="Times New Roman" w:cs="Times New Roman"/>
          <w:bCs/>
          <w:sz w:val="24"/>
          <w:szCs w:val="24"/>
          <w:lang w:val="bg-BG"/>
        </w:rPr>
        <w:t xml:space="preserve"> </w:t>
      </w:r>
      <w:r w:rsidRPr="00331500">
        <w:rPr>
          <w:rFonts w:ascii="Times New Roman" w:hAnsi="Times New Roman" w:cs="Times New Roman"/>
          <w:bCs/>
          <w:sz w:val="24"/>
          <w:szCs w:val="24"/>
        </w:rPr>
        <w:t>третирани по еднакъв начин, а не да са обект на по</w:t>
      </w:r>
      <w:r w:rsidRPr="00331500">
        <w:rPr>
          <w:rFonts w:ascii="Times New Roman" w:hAnsi="Times New Roman" w:cs="Times New Roman"/>
          <w:bCs/>
          <w:sz w:val="24"/>
          <w:szCs w:val="24"/>
        </w:rPr>
        <w:noBreakHyphen/>
        <w:t>неблагоприятно третиране</w:t>
      </w:r>
      <w:r w:rsidRPr="00331500">
        <w:rPr>
          <w:rFonts w:ascii="Times New Roman" w:hAnsi="Times New Roman" w:cs="Times New Roman"/>
          <w:bCs/>
          <w:sz w:val="24"/>
          <w:szCs w:val="24"/>
          <w:lang w:val="bg-BG"/>
        </w:rPr>
        <w:t xml:space="preserve"> </w:t>
      </w:r>
      <w:r w:rsidRPr="00331500">
        <w:rPr>
          <w:rFonts w:ascii="Times New Roman" w:hAnsi="Times New Roman" w:cs="Times New Roman"/>
          <w:bCs/>
          <w:sz w:val="24"/>
          <w:szCs w:val="24"/>
        </w:rPr>
        <w:t>единствено поради факта, че притежават определена характеристика, която</w:t>
      </w:r>
      <w:r w:rsidRPr="00331500">
        <w:rPr>
          <w:rFonts w:ascii="Times New Roman" w:hAnsi="Times New Roman" w:cs="Times New Roman"/>
          <w:bCs/>
          <w:sz w:val="24"/>
          <w:szCs w:val="24"/>
          <w:lang w:val="bg-BG"/>
        </w:rPr>
        <w:t xml:space="preserve"> </w:t>
      </w:r>
      <w:r w:rsidRPr="00331500">
        <w:rPr>
          <w:rFonts w:ascii="Times New Roman" w:hAnsi="Times New Roman" w:cs="Times New Roman"/>
          <w:bCs/>
          <w:sz w:val="24"/>
          <w:szCs w:val="24"/>
        </w:rPr>
        <w:t>е „предмет на защита“. Такова по</w:t>
      </w:r>
      <w:r w:rsidRPr="00331500">
        <w:rPr>
          <w:rFonts w:ascii="Times New Roman" w:hAnsi="Times New Roman" w:cs="Times New Roman"/>
          <w:bCs/>
          <w:sz w:val="24"/>
          <w:szCs w:val="24"/>
        </w:rPr>
        <w:noBreakHyphen/>
        <w:t xml:space="preserve">неблагоприятно третиране се </w:t>
      </w:r>
      <w:r w:rsidR="00E6450C" w:rsidRPr="00331500">
        <w:rPr>
          <w:rFonts w:ascii="Times New Roman" w:hAnsi="Times New Roman" w:cs="Times New Roman"/>
          <w:bCs/>
          <w:sz w:val="24"/>
          <w:szCs w:val="24"/>
          <w:lang w:val="bg-BG"/>
        </w:rPr>
        <w:t>дефинира като</w:t>
      </w:r>
      <w:r w:rsidRPr="00331500">
        <w:rPr>
          <w:rFonts w:ascii="Times New Roman" w:hAnsi="Times New Roman" w:cs="Times New Roman"/>
          <w:bCs/>
          <w:sz w:val="24"/>
          <w:szCs w:val="24"/>
        </w:rPr>
        <w:t xml:space="preserve"> „пряка“дискриминация. В случаите на твърдяна пряка дискриминация, попадащи</w:t>
      </w:r>
      <w:r w:rsidRPr="00331500">
        <w:rPr>
          <w:rFonts w:ascii="Times New Roman" w:hAnsi="Times New Roman" w:cs="Times New Roman"/>
          <w:bCs/>
          <w:sz w:val="24"/>
          <w:szCs w:val="24"/>
          <w:lang w:val="bg-BG"/>
        </w:rPr>
        <w:t xml:space="preserve"> </w:t>
      </w:r>
      <w:r w:rsidRPr="00331500">
        <w:rPr>
          <w:rFonts w:ascii="Times New Roman" w:hAnsi="Times New Roman" w:cs="Times New Roman"/>
          <w:bCs/>
          <w:sz w:val="24"/>
          <w:szCs w:val="24"/>
        </w:rPr>
        <w:t>в приложното поле на ЕКЗПЧОС, може да се прави общо защитно възражение</w:t>
      </w:r>
      <w:r w:rsidRPr="00331500">
        <w:rPr>
          <w:rFonts w:ascii="Times New Roman" w:hAnsi="Times New Roman" w:cs="Times New Roman"/>
          <w:bCs/>
          <w:sz w:val="24"/>
          <w:szCs w:val="24"/>
          <w:lang w:val="bg-BG"/>
        </w:rPr>
        <w:t xml:space="preserve"> </w:t>
      </w:r>
      <w:r w:rsidRPr="00331500">
        <w:rPr>
          <w:rFonts w:ascii="Times New Roman" w:hAnsi="Times New Roman" w:cs="Times New Roman"/>
          <w:bCs/>
          <w:sz w:val="24"/>
          <w:szCs w:val="24"/>
        </w:rPr>
        <w:t>за обективна обоснованост. Съгласно правото на ЕС обаче възможните възражения в случаи на пряка дискриминация са в известна степен ограничени.</w:t>
      </w:r>
      <w:r w:rsidR="00E6450C" w:rsidRPr="00331500">
        <w:rPr>
          <w:rFonts w:ascii="Times New Roman" w:hAnsi="Times New Roman" w:cs="Times New Roman"/>
          <w:bCs/>
          <w:sz w:val="24"/>
          <w:szCs w:val="24"/>
          <w:lang w:val="bg-BG"/>
        </w:rPr>
        <w:t xml:space="preserve"> </w:t>
      </w:r>
      <w:r w:rsidR="00E6450C" w:rsidRPr="00331500">
        <w:rPr>
          <w:rFonts w:ascii="Times New Roman" w:hAnsi="Times New Roman" w:cs="Times New Roman"/>
          <w:bCs/>
          <w:sz w:val="24"/>
          <w:szCs w:val="24"/>
        </w:rPr>
        <w:t>В</w:t>
      </w:r>
      <w:r w:rsidRPr="00331500">
        <w:rPr>
          <w:rFonts w:ascii="Times New Roman" w:hAnsi="Times New Roman" w:cs="Times New Roman"/>
          <w:bCs/>
          <w:sz w:val="24"/>
          <w:szCs w:val="24"/>
        </w:rPr>
        <w:t xml:space="preserve"> областта на дискриминацията</w:t>
      </w:r>
      <w:r w:rsidRPr="00331500">
        <w:rPr>
          <w:rFonts w:ascii="Times New Roman" w:hAnsi="Times New Roman" w:cs="Times New Roman"/>
          <w:bCs/>
          <w:sz w:val="24"/>
          <w:szCs w:val="24"/>
          <w:lang w:val="bg-BG"/>
        </w:rPr>
        <w:t xml:space="preserve"> </w:t>
      </w:r>
      <w:r w:rsidRPr="00331500">
        <w:rPr>
          <w:rFonts w:ascii="Times New Roman" w:hAnsi="Times New Roman" w:cs="Times New Roman"/>
          <w:bCs/>
          <w:sz w:val="24"/>
          <w:szCs w:val="24"/>
        </w:rPr>
        <w:t>е предвидено, че лицата, които са в различно</w:t>
      </w:r>
      <w:r w:rsidRPr="00331500">
        <w:rPr>
          <w:rFonts w:ascii="Times New Roman" w:hAnsi="Times New Roman" w:cs="Times New Roman"/>
          <w:bCs/>
          <w:sz w:val="24"/>
          <w:szCs w:val="24"/>
          <w:lang w:val="bg-BG"/>
        </w:rPr>
        <w:t xml:space="preserve"> </w:t>
      </w:r>
      <w:r w:rsidRPr="00331500">
        <w:rPr>
          <w:rFonts w:ascii="Times New Roman" w:hAnsi="Times New Roman" w:cs="Times New Roman"/>
          <w:bCs/>
          <w:sz w:val="24"/>
          <w:szCs w:val="24"/>
        </w:rPr>
        <w:t>положение, следва да бъдат третирани по различен начин, доколкото това е необходимо, за да могат тези лица да се възползват от определени възможности равнопоставено с другите. Следователно</w:t>
      </w:r>
      <w:r w:rsidRPr="00331500">
        <w:rPr>
          <w:rFonts w:ascii="Times New Roman" w:hAnsi="Times New Roman" w:cs="Times New Roman"/>
          <w:bCs/>
          <w:sz w:val="24"/>
          <w:szCs w:val="24"/>
          <w:lang w:val="bg-BG"/>
        </w:rPr>
        <w:t xml:space="preserve"> </w:t>
      </w:r>
      <w:r w:rsidRPr="00331500">
        <w:rPr>
          <w:rFonts w:ascii="Times New Roman" w:hAnsi="Times New Roman" w:cs="Times New Roman"/>
          <w:bCs/>
          <w:sz w:val="24"/>
          <w:szCs w:val="24"/>
        </w:rPr>
        <w:t>същите „основания, предмет на защита</w:t>
      </w:r>
      <w:proofErr w:type="gramStart"/>
      <w:r w:rsidRPr="00331500">
        <w:rPr>
          <w:rFonts w:ascii="Times New Roman" w:hAnsi="Times New Roman" w:cs="Times New Roman"/>
          <w:bCs/>
          <w:sz w:val="24"/>
          <w:szCs w:val="24"/>
        </w:rPr>
        <w:t>“</w:t>
      </w:r>
      <w:r w:rsidR="00E6450C" w:rsidRPr="00331500">
        <w:rPr>
          <w:rFonts w:ascii="Times New Roman" w:hAnsi="Times New Roman" w:cs="Times New Roman"/>
          <w:bCs/>
          <w:sz w:val="24"/>
          <w:szCs w:val="24"/>
          <w:lang w:val="bg-BG"/>
        </w:rPr>
        <w:t xml:space="preserve"> </w:t>
      </w:r>
      <w:r w:rsidRPr="00331500">
        <w:rPr>
          <w:rFonts w:ascii="Times New Roman" w:hAnsi="Times New Roman" w:cs="Times New Roman"/>
          <w:bCs/>
          <w:sz w:val="24"/>
          <w:szCs w:val="24"/>
        </w:rPr>
        <w:t>следва</w:t>
      </w:r>
      <w:proofErr w:type="gramEnd"/>
      <w:r w:rsidRPr="00331500">
        <w:rPr>
          <w:rFonts w:ascii="Times New Roman" w:hAnsi="Times New Roman" w:cs="Times New Roman"/>
          <w:bCs/>
          <w:sz w:val="24"/>
          <w:szCs w:val="24"/>
          <w:lang w:val="bg-BG"/>
        </w:rPr>
        <w:t xml:space="preserve"> </w:t>
      </w:r>
      <w:r w:rsidRPr="00331500">
        <w:rPr>
          <w:rFonts w:ascii="Times New Roman" w:hAnsi="Times New Roman" w:cs="Times New Roman"/>
          <w:bCs/>
          <w:sz w:val="24"/>
          <w:szCs w:val="24"/>
        </w:rPr>
        <w:t xml:space="preserve">да бъдат взети предвид, когато се прилагат определени практики или се създават определени правила. Това положение се </w:t>
      </w:r>
      <w:r w:rsidR="00E6450C" w:rsidRPr="00331500">
        <w:rPr>
          <w:rFonts w:ascii="Times New Roman" w:hAnsi="Times New Roman" w:cs="Times New Roman"/>
          <w:bCs/>
          <w:sz w:val="24"/>
          <w:szCs w:val="24"/>
          <w:lang w:val="bg-BG"/>
        </w:rPr>
        <w:t>определя като</w:t>
      </w:r>
      <w:r w:rsidRPr="00331500">
        <w:rPr>
          <w:rFonts w:ascii="Times New Roman" w:hAnsi="Times New Roman" w:cs="Times New Roman"/>
          <w:bCs/>
          <w:sz w:val="24"/>
          <w:szCs w:val="24"/>
        </w:rPr>
        <w:t xml:space="preserve"> „непряка</w:t>
      </w:r>
      <w:proofErr w:type="gramStart"/>
      <w:r w:rsidRPr="00331500">
        <w:rPr>
          <w:rFonts w:ascii="Times New Roman" w:hAnsi="Times New Roman" w:cs="Times New Roman"/>
          <w:bCs/>
          <w:sz w:val="24"/>
          <w:szCs w:val="24"/>
        </w:rPr>
        <w:t>“</w:t>
      </w:r>
      <w:r w:rsidR="00E6450C" w:rsidRPr="00331500">
        <w:rPr>
          <w:rFonts w:ascii="Times New Roman" w:hAnsi="Times New Roman" w:cs="Times New Roman"/>
          <w:bCs/>
          <w:sz w:val="24"/>
          <w:szCs w:val="24"/>
          <w:lang w:val="bg-BG"/>
        </w:rPr>
        <w:t xml:space="preserve"> </w:t>
      </w:r>
      <w:r w:rsidRPr="00331500">
        <w:rPr>
          <w:rFonts w:ascii="Times New Roman" w:hAnsi="Times New Roman" w:cs="Times New Roman"/>
          <w:bCs/>
          <w:sz w:val="24"/>
          <w:szCs w:val="24"/>
        </w:rPr>
        <w:t>дискриминация</w:t>
      </w:r>
      <w:proofErr w:type="gramEnd"/>
      <w:r w:rsidRPr="00331500">
        <w:rPr>
          <w:rFonts w:ascii="Times New Roman" w:hAnsi="Times New Roman" w:cs="Times New Roman"/>
          <w:bCs/>
          <w:sz w:val="24"/>
          <w:szCs w:val="24"/>
        </w:rPr>
        <w:t>. При всички форми</w:t>
      </w:r>
      <w:r w:rsidRPr="00331500">
        <w:rPr>
          <w:rFonts w:ascii="Times New Roman" w:hAnsi="Times New Roman" w:cs="Times New Roman"/>
          <w:bCs/>
          <w:sz w:val="24"/>
          <w:szCs w:val="24"/>
          <w:lang w:val="bg-BG"/>
        </w:rPr>
        <w:t xml:space="preserve"> </w:t>
      </w:r>
      <w:r w:rsidRPr="00331500">
        <w:rPr>
          <w:rFonts w:ascii="Times New Roman" w:hAnsi="Times New Roman" w:cs="Times New Roman"/>
          <w:bCs/>
          <w:sz w:val="24"/>
          <w:szCs w:val="24"/>
        </w:rPr>
        <w:t>на непряка дискриминация може да се прави защитно възражение, че различното третиране е обективно обосновано без разлика дали твърдението за</w:t>
      </w:r>
      <w:r w:rsidRPr="00331500">
        <w:rPr>
          <w:rFonts w:ascii="Times New Roman" w:hAnsi="Times New Roman" w:cs="Times New Roman"/>
          <w:bCs/>
          <w:sz w:val="24"/>
          <w:szCs w:val="24"/>
          <w:lang w:val="bg-BG"/>
        </w:rPr>
        <w:t xml:space="preserve"> </w:t>
      </w:r>
      <w:r w:rsidRPr="00331500">
        <w:rPr>
          <w:rFonts w:ascii="Times New Roman" w:hAnsi="Times New Roman" w:cs="Times New Roman"/>
          <w:bCs/>
          <w:sz w:val="24"/>
          <w:szCs w:val="24"/>
        </w:rPr>
        <w:t>наличие на дискриминация се основава на ЕКЗПЧОС или на правото на ЕС.</w:t>
      </w:r>
      <w:r w:rsidR="00E6450C" w:rsidRPr="00331500">
        <w:rPr>
          <w:rFonts w:ascii="Times New Roman" w:hAnsi="Times New Roman" w:cs="Times New Roman"/>
          <w:bCs/>
          <w:sz w:val="24"/>
          <w:szCs w:val="24"/>
          <w:lang w:val="bg-BG"/>
        </w:rPr>
        <w:t xml:space="preserve"> </w:t>
      </w:r>
      <w:r w:rsidRPr="00331500">
        <w:rPr>
          <w:rFonts w:ascii="Times New Roman" w:hAnsi="Times New Roman" w:cs="Times New Roman"/>
          <w:bCs/>
          <w:sz w:val="24"/>
          <w:szCs w:val="24"/>
          <w:lang w:val="bg-BG"/>
        </w:rPr>
        <w:t>Следователно правото в областта на дискриминацията забранява различното третиране на лица или групи лица в еднакво положение, както и еднаквото третиране на лица или групи лица в различно положение.</w:t>
      </w:r>
      <w:r w:rsidRPr="00331500">
        <w:rPr>
          <w:rStyle w:val="FootnoteReference"/>
          <w:rFonts w:ascii="Times New Roman" w:hAnsi="Times New Roman" w:cs="Times New Roman"/>
          <w:bCs/>
          <w:sz w:val="24"/>
          <w:szCs w:val="24"/>
          <w:lang w:val="bg-BG"/>
        </w:rPr>
        <w:footnoteReference w:id="2"/>
      </w:r>
    </w:p>
    <w:p w:rsidR="00E6450C" w:rsidRPr="00331500" w:rsidRDefault="004A5563" w:rsidP="00331500">
      <w:pPr>
        <w:spacing w:after="0" w:line="360" w:lineRule="auto"/>
        <w:ind w:firstLine="709"/>
        <w:jc w:val="both"/>
        <w:rPr>
          <w:rFonts w:ascii="Times New Roman" w:hAnsi="Times New Roman" w:cs="Times New Roman"/>
          <w:bCs/>
          <w:sz w:val="24"/>
          <w:szCs w:val="24"/>
        </w:rPr>
      </w:pPr>
      <w:r w:rsidRPr="00331500">
        <w:rPr>
          <w:rFonts w:ascii="Times New Roman" w:hAnsi="Times New Roman" w:cs="Times New Roman"/>
          <w:bCs/>
          <w:sz w:val="24"/>
          <w:szCs w:val="24"/>
          <w:lang w:val="bg-BG"/>
        </w:rPr>
        <w:t xml:space="preserve">Важно значение за изясняване на понятието за дискриминация и европейското законодателство, противодействащо на това явление е да бъде направен </w:t>
      </w:r>
      <w:r w:rsidRPr="00331500">
        <w:rPr>
          <w:rFonts w:ascii="Times New Roman" w:hAnsi="Times New Roman" w:cs="Times New Roman"/>
          <w:bCs/>
          <w:sz w:val="24"/>
          <w:szCs w:val="24"/>
        </w:rPr>
        <w:t>по</w:t>
      </w:r>
      <w:r w:rsidRPr="00331500">
        <w:rPr>
          <w:rFonts w:ascii="Times New Roman" w:hAnsi="Times New Roman" w:cs="Times New Roman"/>
          <w:bCs/>
          <w:sz w:val="24"/>
          <w:szCs w:val="24"/>
        </w:rPr>
        <w:noBreakHyphen/>
        <w:t>задълбочен анализ въз основа на съдебната</w:t>
      </w:r>
      <w:r w:rsidRPr="00331500">
        <w:rPr>
          <w:rFonts w:ascii="Times New Roman" w:hAnsi="Times New Roman" w:cs="Times New Roman"/>
          <w:bCs/>
          <w:sz w:val="24"/>
          <w:szCs w:val="24"/>
          <w:lang w:val="bg-BG"/>
        </w:rPr>
        <w:t xml:space="preserve"> </w:t>
      </w:r>
      <w:r w:rsidRPr="00331500">
        <w:rPr>
          <w:rFonts w:ascii="Times New Roman" w:hAnsi="Times New Roman" w:cs="Times New Roman"/>
          <w:bCs/>
          <w:sz w:val="24"/>
          <w:szCs w:val="24"/>
        </w:rPr>
        <w:t>практика на значението на понятията пряка и непряка дискриминация, на</w:t>
      </w:r>
      <w:r w:rsidRPr="00331500">
        <w:rPr>
          <w:rFonts w:ascii="Times New Roman" w:hAnsi="Times New Roman" w:cs="Times New Roman"/>
          <w:bCs/>
          <w:sz w:val="24"/>
          <w:szCs w:val="24"/>
          <w:lang w:val="bg-BG"/>
        </w:rPr>
        <w:t xml:space="preserve"> </w:t>
      </w:r>
      <w:r w:rsidRPr="00331500">
        <w:rPr>
          <w:rFonts w:ascii="Times New Roman" w:hAnsi="Times New Roman" w:cs="Times New Roman"/>
          <w:bCs/>
          <w:sz w:val="24"/>
          <w:szCs w:val="24"/>
        </w:rPr>
        <w:t>някои конкретни прояви на тези форми на дискриминация, като тормоза</w:t>
      </w:r>
      <w:r w:rsidRPr="00331500">
        <w:rPr>
          <w:rFonts w:ascii="Times New Roman" w:hAnsi="Times New Roman" w:cs="Times New Roman"/>
          <w:bCs/>
          <w:sz w:val="24"/>
          <w:szCs w:val="24"/>
          <w:lang w:val="bg-BG"/>
        </w:rPr>
        <w:t xml:space="preserve"> </w:t>
      </w:r>
      <w:r w:rsidRPr="00331500">
        <w:rPr>
          <w:rFonts w:ascii="Times New Roman" w:hAnsi="Times New Roman" w:cs="Times New Roman"/>
          <w:bCs/>
          <w:sz w:val="24"/>
          <w:szCs w:val="24"/>
        </w:rPr>
        <w:t>и подбуждането към дискриминация, и на начините, по които тези форми на</w:t>
      </w:r>
      <w:r w:rsidRPr="00331500">
        <w:rPr>
          <w:rFonts w:ascii="Times New Roman" w:hAnsi="Times New Roman" w:cs="Times New Roman"/>
          <w:bCs/>
          <w:sz w:val="24"/>
          <w:szCs w:val="24"/>
          <w:lang w:val="bg-BG"/>
        </w:rPr>
        <w:t xml:space="preserve"> </w:t>
      </w:r>
      <w:r w:rsidRPr="00331500">
        <w:rPr>
          <w:rFonts w:ascii="Times New Roman" w:hAnsi="Times New Roman" w:cs="Times New Roman"/>
          <w:bCs/>
          <w:sz w:val="24"/>
          <w:szCs w:val="24"/>
        </w:rPr>
        <w:t xml:space="preserve">дискриминация се проявяват на практика. </w:t>
      </w:r>
    </w:p>
    <w:p w:rsidR="00E6450C" w:rsidRPr="00331500" w:rsidRDefault="00E6450C" w:rsidP="00331500">
      <w:pPr>
        <w:spacing w:after="0" w:line="360" w:lineRule="auto"/>
        <w:jc w:val="both"/>
        <w:rPr>
          <w:rFonts w:ascii="Times New Roman" w:hAnsi="Times New Roman" w:cs="Times New Roman"/>
          <w:b/>
          <w:bCs/>
          <w:sz w:val="24"/>
          <w:szCs w:val="24"/>
          <w:u w:val="single"/>
          <w:lang w:val="bg-BG"/>
        </w:rPr>
      </w:pPr>
    </w:p>
    <w:p w:rsidR="004A5563" w:rsidRPr="00331500" w:rsidRDefault="004A5563" w:rsidP="00331500">
      <w:pPr>
        <w:spacing w:after="0" w:line="360" w:lineRule="auto"/>
        <w:ind w:left="708"/>
        <w:jc w:val="both"/>
        <w:rPr>
          <w:rFonts w:ascii="Times New Roman" w:hAnsi="Times New Roman" w:cs="Times New Roman"/>
          <w:b/>
          <w:bCs/>
          <w:sz w:val="24"/>
          <w:szCs w:val="24"/>
          <w:lang w:val="bg-BG"/>
        </w:rPr>
      </w:pPr>
      <w:r w:rsidRPr="00331500">
        <w:rPr>
          <w:rFonts w:ascii="Times New Roman" w:hAnsi="Times New Roman" w:cs="Times New Roman"/>
          <w:b/>
          <w:bCs/>
          <w:sz w:val="24"/>
          <w:szCs w:val="24"/>
          <w:lang w:val="bg-BG"/>
        </w:rPr>
        <w:lastRenderedPageBreak/>
        <w:t>Пряка дискриминация</w:t>
      </w:r>
      <w:r w:rsidR="00F476E7" w:rsidRPr="00331500">
        <w:rPr>
          <w:rFonts w:ascii="Times New Roman" w:hAnsi="Times New Roman" w:cs="Times New Roman"/>
          <w:b/>
          <w:bCs/>
          <w:sz w:val="24"/>
          <w:szCs w:val="24"/>
        </w:rPr>
        <w:t xml:space="preserve"> </w:t>
      </w:r>
      <w:r w:rsidR="00F476E7" w:rsidRPr="00331500">
        <w:rPr>
          <w:rFonts w:ascii="Times New Roman" w:hAnsi="Times New Roman" w:cs="Times New Roman"/>
          <w:b/>
          <w:bCs/>
          <w:sz w:val="24"/>
          <w:szCs w:val="24"/>
          <w:lang w:val="bg-BG"/>
        </w:rPr>
        <w:t>и практиката на Съда на ЕС и Европейския съд по правата на човека</w:t>
      </w:r>
    </w:p>
    <w:p w:rsidR="004A5563" w:rsidRPr="00331500" w:rsidRDefault="004A5563" w:rsidP="00331500">
      <w:pPr>
        <w:spacing w:after="0" w:line="360" w:lineRule="auto"/>
        <w:ind w:firstLine="708"/>
        <w:jc w:val="both"/>
        <w:rPr>
          <w:rFonts w:ascii="Times New Roman" w:hAnsi="Times New Roman" w:cs="Times New Roman"/>
          <w:bCs/>
          <w:sz w:val="24"/>
          <w:szCs w:val="24"/>
          <w:lang w:val="bg-BG"/>
        </w:rPr>
      </w:pPr>
      <w:r w:rsidRPr="00331500">
        <w:rPr>
          <w:rFonts w:ascii="Times New Roman" w:hAnsi="Times New Roman" w:cs="Times New Roman"/>
          <w:bCs/>
          <w:sz w:val="24"/>
          <w:szCs w:val="24"/>
        </w:rPr>
        <w:t>Определенията на понятието пряка дискриминация, съдържащи се в ЕКЗПЧОС и правото на ЕС, са</w:t>
      </w:r>
      <w:r w:rsidRPr="00331500">
        <w:rPr>
          <w:rFonts w:ascii="Times New Roman" w:hAnsi="Times New Roman" w:cs="Times New Roman"/>
          <w:bCs/>
          <w:sz w:val="24"/>
          <w:szCs w:val="24"/>
          <w:lang w:val="bg-BG"/>
        </w:rPr>
        <w:t xml:space="preserve"> </w:t>
      </w:r>
      <w:r w:rsidRPr="00331500">
        <w:rPr>
          <w:rFonts w:ascii="Times New Roman" w:hAnsi="Times New Roman" w:cs="Times New Roman"/>
          <w:bCs/>
          <w:sz w:val="24"/>
          <w:szCs w:val="24"/>
        </w:rPr>
        <w:t>сходни. В член 2, параграф 2 от Директивата за</w:t>
      </w:r>
      <w:r w:rsidRPr="00331500">
        <w:rPr>
          <w:rFonts w:ascii="Times New Roman" w:hAnsi="Times New Roman" w:cs="Times New Roman"/>
          <w:bCs/>
          <w:sz w:val="24"/>
          <w:szCs w:val="24"/>
          <w:lang w:val="bg-BG"/>
        </w:rPr>
        <w:t xml:space="preserve"> </w:t>
      </w:r>
      <w:r w:rsidRPr="00331500">
        <w:rPr>
          <w:rFonts w:ascii="Times New Roman" w:hAnsi="Times New Roman" w:cs="Times New Roman"/>
          <w:bCs/>
          <w:sz w:val="24"/>
          <w:szCs w:val="24"/>
        </w:rPr>
        <w:t>расовото равенство се посочва, че „проява на</w:t>
      </w:r>
      <w:r w:rsidRPr="00331500">
        <w:rPr>
          <w:rFonts w:ascii="Times New Roman" w:hAnsi="Times New Roman" w:cs="Times New Roman"/>
          <w:bCs/>
          <w:sz w:val="24"/>
          <w:szCs w:val="24"/>
          <w:lang w:val="bg-BG"/>
        </w:rPr>
        <w:t xml:space="preserve"> </w:t>
      </w:r>
      <w:r w:rsidRPr="00331500">
        <w:rPr>
          <w:rFonts w:ascii="Times New Roman" w:hAnsi="Times New Roman" w:cs="Times New Roman"/>
          <w:bCs/>
          <w:sz w:val="24"/>
          <w:szCs w:val="24"/>
        </w:rPr>
        <w:t>пряка дискриминация има, когато едно лице е,</w:t>
      </w:r>
      <w:r w:rsidRPr="00331500">
        <w:rPr>
          <w:rFonts w:ascii="Times New Roman" w:hAnsi="Times New Roman" w:cs="Times New Roman"/>
          <w:bCs/>
          <w:sz w:val="24"/>
          <w:szCs w:val="24"/>
          <w:lang w:val="bg-BG"/>
        </w:rPr>
        <w:t xml:space="preserve"> </w:t>
      </w:r>
      <w:r w:rsidRPr="00331500">
        <w:rPr>
          <w:rFonts w:ascii="Times New Roman" w:hAnsi="Times New Roman" w:cs="Times New Roman"/>
          <w:bCs/>
          <w:sz w:val="24"/>
          <w:szCs w:val="24"/>
        </w:rPr>
        <w:t>било е, или би било третирано по</w:t>
      </w:r>
      <w:r w:rsidRPr="00331500">
        <w:rPr>
          <w:rFonts w:ascii="Times New Roman" w:hAnsi="Times New Roman" w:cs="Times New Roman"/>
          <w:bCs/>
          <w:sz w:val="24"/>
          <w:szCs w:val="24"/>
        </w:rPr>
        <w:noBreakHyphen/>
        <w:t>малко благоприятно от друго в сравнима ситуация въз основа на</w:t>
      </w:r>
      <w:r w:rsidRPr="00331500">
        <w:rPr>
          <w:rFonts w:ascii="Times New Roman" w:hAnsi="Times New Roman" w:cs="Times New Roman"/>
          <w:bCs/>
          <w:sz w:val="24"/>
          <w:szCs w:val="24"/>
          <w:lang w:val="bg-BG"/>
        </w:rPr>
        <w:t xml:space="preserve"> </w:t>
      </w:r>
      <w:r w:rsidRPr="00331500">
        <w:rPr>
          <w:rFonts w:ascii="Times New Roman" w:hAnsi="Times New Roman" w:cs="Times New Roman"/>
          <w:bCs/>
          <w:sz w:val="24"/>
          <w:szCs w:val="24"/>
        </w:rPr>
        <w:t>расов признак или етнически произход“</w:t>
      </w:r>
      <w:r w:rsidRPr="00331500">
        <w:rPr>
          <w:rStyle w:val="FootnoteReference"/>
          <w:rFonts w:ascii="Times New Roman" w:hAnsi="Times New Roman" w:cs="Times New Roman"/>
          <w:bCs/>
          <w:sz w:val="24"/>
          <w:szCs w:val="24"/>
        </w:rPr>
        <w:footnoteReference w:id="3"/>
      </w:r>
      <w:r w:rsidRPr="00331500">
        <w:rPr>
          <w:rFonts w:ascii="Times New Roman" w:hAnsi="Times New Roman" w:cs="Times New Roman"/>
          <w:bCs/>
          <w:sz w:val="24"/>
          <w:szCs w:val="24"/>
        </w:rPr>
        <w:t>. ЕСПЧ</w:t>
      </w:r>
      <w:r w:rsidRPr="00331500">
        <w:rPr>
          <w:rFonts w:ascii="Times New Roman" w:hAnsi="Times New Roman" w:cs="Times New Roman"/>
          <w:bCs/>
          <w:sz w:val="24"/>
          <w:szCs w:val="24"/>
          <w:lang w:val="bg-BG"/>
        </w:rPr>
        <w:t xml:space="preserve"> </w:t>
      </w:r>
      <w:r w:rsidRPr="00331500">
        <w:rPr>
          <w:rFonts w:ascii="Times New Roman" w:hAnsi="Times New Roman" w:cs="Times New Roman"/>
          <w:bCs/>
          <w:sz w:val="24"/>
          <w:szCs w:val="24"/>
        </w:rPr>
        <w:t>използва формулировката, че трябва да е налице</w:t>
      </w:r>
      <w:r w:rsidRPr="00331500">
        <w:rPr>
          <w:rFonts w:ascii="Times New Roman" w:hAnsi="Times New Roman" w:cs="Times New Roman"/>
          <w:bCs/>
          <w:sz w:val="24"/>
          <w:szCs w:val="24"/>
          <w:lang w:val="bg-BG"/>
        </w:rPr>
        <w:t xml:space="preserve"> </w:t>
      </w:r>
      <w:r w:rsidRPr="00331500">
        <w:rPr>
          <w:rFonts w:ascii="Times New Roman" w:hAnsi="Times New Roman" w:cs="Times New Roman"/>
          <w:bCs/>
          <w:sz w:val="24"/>
          <w:szCs w:val="24"/>
        </w:rPr>
        <w:t>„разлика в третирането на лица в аналогични или</w:t>
      </w:r>
      <w:r w:rsidRPr="00331500">
        <w:rPr>
          <w:rFonts w:ascii="Times New Roman" w:hAnsi="Times New Roman" w:cs="Times New Roman"/>
          <w:bCs/>
          <w:sz w:val="24"/>
          <w:szCs w:val="24"/>
          <w:lang w:val="bg-BG"/>
        </w:rPr>
        <w:t xml:space="preserve"> достатъчно сходни ситуации“, която се „основава на подлежаща на идентифициране характеристика</w:t>
      </w:r>
      <w:r w:rsidRPr="00331500">
        <w:rPr>
          <w:rStyle w:val="FootnoteReference"/>
          <w:rFonts w:ascii="Times New Roman" w:hAnsi="Times New Roman" w:cs="Times New Roman"/>
          <w:bCs/>
          <w:sz w:val="24"/>
          <w:szCs w:val="24"/>
          <w:lang w:val="bg-BG"/>
        </w:rPr>
        <w:footnoteReference w:id="4"/>
      </w:r>
      <w:r w:rsidRPr="00331500">
        <w:rPr>
          <w:rFonts w:ascii="Times New Roman" w:hAnsi="Times New Roman" w:cs="Times New Roman"/>
          <w:bCs/>
          <w:sz w:val="24"/>
          <w:szCs w:val="24"/>
          <w:lang w:val="bg-BG"/>
        </w:rPr>
        <w:t>“.</w:t>
      </w:r>
    </w:p>
    <w:p w:rsidR="00D92809" w:rsidRPr="00331500" w:rsidRDefault="004A5563" w:rsidP="00331500">
      <w:pPr>
        <w:spacing w:after="0" w:line="360" w:lineRule="auto"/>
        <w:ind w:firstLine="708"/>
        <w:jc w:val="both"/>
        <w:rPr>
          <w:rFonts w:ascii="Times New Roman" w:hAnsi="Times New Roman" w:cs="Times New Roman"/>
          <w:bCs/>
          <w:sz w:val="24"/>
          <w:szCs w:val="24"/>
          <w:lang w:val="bg-BG"/>
        </w:rPr>
      </w:pPr>
      <w:r w:rsidRPr="00331500">
        <w:rPr>
          <w:rFonts w:ascii="Times New Roman" w:hAnsi="Times New Roman" w:cs="Times New Roman"/>
          <w:bCs/>
          <w:sz w:val="24"/>
          <w:szCs w:val="24"/>
          <w:lang w:val="bg-BG"/>
        </w:rPr>
        <w:t>Пряка дискриминация е налице, когато дадено лице е третирано неблагоприятно в сравнение с начина, по който са били или биха били третирани други лица, които са в сходно положение, и основанието за това е наличието на конкретна характеристика на тези лица, която попада в обхвата на „признак, предмет на защита“.</w:t>
      </w:r>
      <w:r w:rsidR="00D92809" w:rsidRPr="00331500">
        <w:rPr>
          <w:rFonts w:ascii="Times New Roman" w:hAnsi="Times New Roman" w:cs="Times New Roman"/>
          <w:bCs/>
          <w:sz w:val="24"/>
          <w:szCs w:val="24"/>
          <w:lang w:val="bg-BG"/>
        </w:rPr>
        <w:t xml:space="preserve"> </w:t>
      </w:r>
      <w:r w:rsidRPr="00331500">
        <w:rPr>
          <w:rFonts w:ascii="Times New Roman" w:hAnsi="Times New Roman" w:cs="Times New Roman"/>
          <w:bCs/>
          <w:sz w:val="24"/>
          <w:szCs w:val="24"/>
          <w:lang w:val="bg-BG"/>
        </w:rPr>
        <w:t>Централен елемент на пряката дискриминация е разликата в третирането на дадено лице. От това следва, че първата характеристика на пряката дискриминация е наличието на данни за неблагоприятно третиране. Неблагоприятното третиране се установява относително лесно в сравнение с непряката дискриминация, във връзка с която често се налага използване на статистически данни.</w:t>
      </w:r>
      <w:r w:rsidR="00D92809" w:rsidRPr="00331500">
        <w:rPr>
          <w:rFonts w:ascii="Times New Roman" w:hAnsi="Times New Roman" w:cs="Times New Roman"/>
          <w:bCs/>
          <w:sz w:val="24"/>
          <w:szCs w:val="24"/>
          <w:lang w:val="bg-BG"/>
        </w:rPr>
        <w:t xml:space="preserve"> </w:t>
      </w:r>
      <w:r w:rsidRPr="00331500">
        <w:rPr>
          <w:rFonts w:ascii="Times New Roman" w:hAnsi="Times New Roman" w:cs="Times New Roman"/>
          <w:bCs/>
          <w:sz w:val="24"/>
          <w:szCs w:val="24"/>
          <w:lang w:val="bg-BG"/>
        </w:rPr>
        <w:t>Наличието на неблагоприятно третиране е от значение за установяване на случай на дискриминация, когато третирането е неблагоприятно в сравнение с третирането на лице в сходно положение. Оплакване от „ниско“ заплащане представлява валидна претенция за наличие на дискриминация само ако може да се докаже, че заплащането е по</w:t>
      </w:r>
      <w:r w:rsidRPr="00331500">
        <w:rPr>
          <w:rFonts w:ascii="Times New Roman" w:hAnsi="Times New Roman" w:cs="Times New Roman"/>
          <w:bCs/>
          <w:sz w:val="24"/>
          <w:szCs w:val="24"/>
          <w:lang w:val="bg-BG"/>
        </w:rPr>
        <w:noBreakHyphen/>
        <w:t xml:space="preserve">ниско от получаваното от лице, наето от същия работодател за изпълнение на сходна задача. Това означава, че е необходимо да се приведе „случай за сравнение“, т.е. лице, намиращо се в общо взето сходни обстоятелства, като основната разлика между двете лица е „признака, предмет на защита“. Практиката на Съда на ЕС и ЕСПЧ илюстрира, че в много случаи доказването наличието на случай за сравнение не поражда противоречия и в някои случаи нито страните по спора, нито съдът обсъждат конкретно случая за сравнение. </w:t>
      </w:r>
    </w:p>
    <w:p w:rsidR="00D92809" w:rsidRPr="00331500" w:rsidRDefault="00D92809" w:rsidP="00331500">
      <w:pPr>
        <w:spacing w:after="0" w:line="360" w:lineRule="auto"/>
        <w:ind w:firstLine="708"/>
        <w:jc w:val="both"/>
        <w:rPr>
          <w:rFonts w:ascii="Times New Roman" w:hAnsi="Times New Roman" w:cs="Times New Roman"/>
          <w:bCs/>
          <w:sz w:val="24"/>
          <w:szCs w:val="24"/>
          <w:lang w:val="bg-BG"/>
        </w:rPr>
      </w:pPr>
      <w:r w:rsidRPr="00331500">
        <w:rPr>
          <w:rFonts w:ascii="Times New Roman" w:hAnsi="Times New Roman" w:cs="Times New Roman"/>
          <w:bCs/>
          <w:sz w:val="24"/>
          <w:szCs w:val="24"/>
          <w:lang w:val="bg-BG"/>
        </w:rPr>
        <w:lastRenderedPageBreak/>
        <w:t>Интересни са бяколко примера за съдебни дела</w:t>
      </w:r>
      <w:r w:rsidR="004A5563" w:rsidRPr="00331500">
        <w:rPr>
          <w:rFonts w:ascii="Times New Roman" w:hAnsi="Times New Roman" w:cs="Times New Roman"/>
          <w:bCs/>
          <w:sz w:val="24"/>
          <w:szCs w:val="24"/>
          <w:lang w:val="bg-BG"/>
        </w:rPr>
        <w:t>, при които въпросът за случая за сравнение е разгл</w:t>
      </w:r>
      <w:r w:rsidRPr="00331500">
        <w:rPr>
          <w:rFonts w:ascii="Times New Roman" w:hAnsi="Times New Roman" w:cs="Times New Roman"/>
          <w:bCs/>
          <w:sz w:val="24"/>
          <w:szCs w:val="24"/>
          <w:lang w:val="bg-BG"/>
        </w:rPr>
        <w:t xml:space="preserve">едан изрично от решаващия орган: </w:t>
      </w:r>
    </w:p>
    <w:p w:rsidR="004A5563" w:rsidRPr="00331500" w:rsidRDefault="00D92809" w:rsidP="00331500">
      <w:pPr>
        <w:spacing w:after="0" w:line="360" w:lineRule="auto"/>
        <w:ind w:firstLine="708"/>
        <w:jc w:val="both"/>
        <w:rPr>
          <w:rFonts w:ascii="Times New Roman" w:hAnsi="Times New Roman" w:cs="Times New Roman"/>
          <w:bCs/>
          <w:sz w:val="24"/>
          <w:szCs w:val="24"/>
          <w:lang w:val="bg-BG"/>
        </w:rPr>
      </w:pPr>
      <w:r w:rsidRPr="00331500">
        <w:rPr>
          <w:rFonts w:ascii="Times New Roman" w:hAnsi="Times New Roman" w:cs="Times New Roman"/>
          <w:bCs/>
          <w:sz w:val="24"/>
          <w:szCs w:val="24"/>
        </w:rPr>
        <w:t>П</w:t>
      </w:r>
      <w:r w:rsidR="004A5563" w:rsidRPr="00331500">
        <w:rPr>
          <w:rFonts w:ascii="Times New Roman" w:hAnsi="Times New Roman" w:cs="Times New Roman"/>
          <w:bCs/>
          <w:sz w:val="24"/>
          <w:szCs w:val="24"/>
        </w:rPr>
        <w:t>о делото Moustaquim срещу Белгия марокански граждани е осъден за няколко престъпления вследствие на което подлежи на експулсиране</w:t>
      </w:r>
      <w:r w:rsidR="004A5563" w:rsidRPr="00331500">
        <w:rPr>
          <w:rStyle w:val="FootnoteReference"/>
          <w:rFonts w:ascii="Times New Roman" w:hAnsi="Times New Roman" w:cs="Times New Roman"/>
          <w:bCs/>
          <w:sz w:val="24"/>
          <w:szCs w:val="24"/>
        </w:rPr>
        <w:footnoteReference w:id="5"/>
      </w:r>
      <w:r w:rsidR="004A5563" w:rsidRPr="00331500">
        <w:rPr>
          <w:rFonts w:ascii="Times New Roman" w:hAnsi="Times New Roman" w:cs="Times New Roman"/>
          <w:bCs/>
          <w:sz w:val="24"/>
          <w:szCs w:val="24"/>
        </w:rPr>
        <w:t>.</w:t>
      </w:r>
      <w:r w:rsidR="004A5563" w:rsidRPr="00331500">
        <w:rPr>
          <w:rFonts w:ascii="Times New Roman" w:hAnsi="Times New Roman" w:cs="Times New Roman"/>
          <w:bCs/>
          <w:sz w:val="24"/>
          <w:szCs w:val="24"/>
          <w:lang w:val="bg-BG"/>
        </w:rPr>
        <w:t xml:space="preserve"> </w:t>
      </w:r>
      <w:r w:rsidR="004A5563" w:rsidRPr="00331500">
        <w:rPr>
          <w:rFonts w:ascii="Times New Roman" w:hAnsi="Times New Roman" w:cs="Times New Roman"/>
          <w:bCs/>
          <w:sz w:val="24"/>
          <w:szCs w:val="24"/>
        </w:rPr>
        <w:t>Мароканският гражданин претендира, че решението</w:t>
      </w:r>
      <w:r w:rsidR="004A5563" w:rsidRPr="00331500">
        <w:rPr>
          <w:rFonts w:ascii="Times New Roman" w:hAnsi="Times New Roman" w:cs="Times New Roman"/>
          <w:bCs/>
          <w:sz w:val="24"/>
          <w:szCs w:val="24"/>
          <w:lang w:val="bg-BG"/>
        </w:rPr>
        <w:t xml:space="preserve"> </w:t>
      </w:r>
      <w:r w:rsidR="004A5563" w:rsidRPr="00331500">
        <w:rPr>
          <w:rFonts w:ascii="Times New Roman" w:hAnsi="Times New Roman" w:cs="Times New Roman"/>
          <w:bCs/>
          <w:sz w:val="24"/>
          <w:szCs w:val="24"/>
        </w:rPr>
        <w:t>за експулсирането му е случай на дискриминационно третиране.</w:t>
      </w:r>
      <w:r w:rsidR="004A5563" w:rsidRPr="00331500">
        <w:rPr>
          <w:rFonts w:ascii="Times New Roman" w:hAnsi="Times New Roman" w:cs="Times New Roman"/>
          <w:bCs/>
          <w:sz w:val="24"/>
          <w:szCs w:val="24"/>
          <w:lang w:val="bg-BG"/>
        </w:rPr>
        <w:t xml:space="preserve"> </w:t>
      </w:r>
      <w:r w:rsidR="004A5563" w:rsidRPr="00331500">
        <w:rPr>
          <w:rFonts w:ascii="Times New Roman" w:hAnsi="Times New Roman" w:cs="Times New Roman"/>
          <w:bCs/>
          <w:sz w:val="24"/>
          <w:szCs w:val="24"/>
        </w:rPr>
        <w:t>Жалбоподателят твърди, че е жертва на дискриминация, основана на</w:t>
      </w:r>
      <w:r w:rsidR="004A5563" w:rsidRPr="00331500">
        <w:rPr>
          <w:rFonts w:ascii="Times New Roman" w:hAnsi="Times New Roman" w:cs="Times New Roman"/>
          <w:bCs/>
          <w:sz w:val="24"/>
          <w:szCs w:val="24"/>
          <w:lang w:val="bg-BG"/>
        </w:rPr>
        <w:t xml:space="preserve"> </w:t>
      </w:r>
      <w:r w:rsidR="004A5563" w:rsidRPr="00331500">
        <w:rPr>
          <w:rFonts w:ascii="Times New Roman" w:hAnsi="Times New Roman" w:cs="Times New Roman"/>
          <w:bCs/>
          <w:sz w:val="24"/>
          <w:szCs w:val="24"/>
        </w:rPr>
        <w:t>неговата националност, като изтъква, че белгийските граждани не се</w:t>
      </w:r>
      <w:r w:rsidR="004A5563" w:rsidRPr="00331500">
        <w:rPr>
          <w:rFonts w:ascii="Times New Roman" w:hAnsi="Times New Roman" w:cs="Times New Roman"/>
          <w:bCs/>
          <w:sz w:val="24"/>
          <w:szCs w:val="24"/>
          <w:lang w:val="bg-BG"/>
        </w:rPr>
        <w:t xml:space="preserve"> </w:t>
      </w:r>
      <w:r w:rsidR="004A5563" w:rsidRPr="00331500">
        <w:rPr>
          <w:rFonts w:ascii="Times New Roman" w:hAnsi="Times New Roman" w:cs="Times New Roman"/>
          <w:bCs/>
          <w:sz w:val="24"/>
          <w:szCs w:val="24"/>
        </w:rPr>
        <w:t>експулсират след постановяване на присъди за престъпления. ЕСПЧ се</w:t>
      </w:r>
      <w:r w:rsidR="004A5563" w:rsidRPr="00331500">
        <w:rPr>
          <w:rFonts w:ascii="Times New Roman" w:hAnsi="Times New Roman" w:cs="Times New Roman"/>
          <w:bCs/>
          <w:sz w:val="24"/>
          <w:szCs w:val="24"/>
          <w:lang w:val="bg-BG"/>
        </w:rPr>
        <w:t xml:space="preserve"> </w:t>
      </w:r>
      <w:r w:rsidR="004A5563" w:rsidRPr="00331500">
        <w:rPr>
          <w:rFonts w:ascii="Times New Roman" w:hAnsi="Times New Roman" w:cs="Times New Roman"/>
          <w:bCs/>
          <w:sz w:val="24"/>
          <w:szCs w:val="24"/>
        </w:rPr>
        <w:t>е произнесъл, че жалбоподателят не е в сходно положение с белгийските</w:t>
      </w:r>
      <w:r w:rsidR="004A5563" w:rsidRPr="00331500">
        <w:rPr>
          <w:rFonts w:ascii="Times New Roman" w:hAnsi="Times New Roman" w:cs="Times New Roman"/>
          <w:bCs/>
          <w:sz w:val="24"/>
          <w:szCs w:val="24"/>
          <w:lang w:val="bg-BG"/>
        </w:rPr>
        <w:t xml:space="preserve"> </w:t>
      </w:r>
      <w:r w:rsidR="004A5563" w:rsidRPr="00331500">
        <w:rPr>
          <w:rFonts w:ascii="Times New Roman" w:hAnsi="Times New Roman" w:cs="Times New Roman"/>
          <w:bCs/>
          <w:sz w:val="24"/>
          <w:szCs w:val="24"/>
        </w:rPr>
        <w:t>граждани, тъй като ЕКЗПЧОС не допуска възможността държавите да</w:t>
      </w:r>
      <w:r w:rsidR="004A5563" w:rsidRPr="00331500">
        <w:rPr>
          <w:rFonts w:ascii="Times New Roman" w:hAnsi="Times New Roman" w:cs="Times New Roman"/>
          <w:bCs/>
          <w:sz w:val="24"/>
          <w:szCs w:val="24"/>
          <w:lang w:val="bg-BG"/>
        </w:rPr>
        <w:t xml:space="preserve"> </w:t>
      </w:r>
      <w:r w:rsidR="004A5563" w:rsidRPr="00331500">
        <w:rPr>
          <w:rFonts w:ascii="Times New Roman" w:hAnsi="Times New Roman" w:cs="Times New Roman"/>
          <w:bCs/>
          <w:sz w:val="24"/>
          <w:szCs w:val="24"/>
        </w:rPr>
        <w:t>експулсират собствените си граждани. На това основание експулсирането</w:t>
      </w:r>
      <w:r w:rsidR="004A5563" w:rsidRPr="00331500">
        <w:rPr>
          <w:rFonts w:ascii="Times New Roman" w:hAnsi="Times New Roman" w:cs="Times New Roman"/>
          <w:bCs/>
          <w:sz w:val="24"/>
          <w:szCs w:val="24"/>
          <w:lang w:val="bg-BG"/>
        </w:rPr>
        <w:t xml:space="preserve"> </w:t>
      </w:r>
      <w:r w:rsidR="004A5563" w:rsidRPr="00331500">
        <w:rPr>
          <w:rFonts w:ascii="Times New Roman" w:hAnsi="Times New Roman" w:cs="Times New Roman"/>
          <w:bCs/>
          <w:sz w:val="24"/>
          <w:szCs w:val="24"/>
        </w:rPr>
        <w:t>на ищеца не представлява дискриминационно третиране. ЕСПЧ приема</w:t>
      </w:r>
      <w:r w:rsidR="004A5563" w:rsidRPr="00331500">
        <w:rPr>
          <w:rFonts w:ascii="Times New Roman" w:hAnsi="Times New Roman" w:cs="Times New Roman"/>
          <w:bCs/>
          <w:sz w:val="24"/>
          <w:szCs w:val="24"/>
          <w:lang w:val="bg-BG"/>
        </w:rPr>
        <w:t xml:space="preserve"> </w:t>
      </w:r>
      <w:r w:rsidR="004A5563" w:rsidRPr="00331500">
        <w:rPr>
          <w:rFonts w:ascii="Times New Roman" w:hAnsi="Times New Roman" w:cs="Times New Roman"/>
          <w:bCs/>
          <w:sz w:val="24"/>
          <w:szCs w:val="24"/>
        </w:rPr>
        <w:t>довода, че жалбоподателят се намира в сходно положение с гражданите на</w:t>
      </w:r>
      <w:r w:rsidR="004A5563" w:rsidRPr="00331500">
        <w:rPr>
          <w:rFonts w:ascii="Times New Roman" w:hAnsi="Times New Roman" w:cs="Times New Roman"/>
          <w:bCs/>
          <w:sz w:val="24"/>
          <w:szCs w:val="24"/>
          <w:lang w:val="bg-BG"/>
        </w:rPr>
        <w:t xml:space="preserve"> </w:t>
      </w:r>
      <w:r w:rsidR="004A5563" w:rsidRPr="00331500">
        <w:rPr>
          <w:rFonts w:ascii="Times New Roman" w:hAnsi="Times New Roman" w:cs="Times New Roman"/>
          <w:bCs/>
          <w:sz w:val="24"/>
          <w:szCs w:val="24"/>
        </w:rPr>
        <w:t>други държави</w:t>
      </w:r>
      <w:r w:rsidR="004A5563" w:rsidRPr="00331500">
        <w:rPr>
          <w:rFonts w:ascii="Times New Roman" w:hAnsi="Times New Roman" w:cs="Times New Roman"/>
          <w:bCs/>
          <w:sz w:val="24"/>
          <w:szCs w:val="24"/>
        </w:rPr>
        <w:noBreakHyphen/>
        <w:t>членки, пребиваващи в Белгия (които органите не могат да</w:t>
      </w:r>
      <w:r w:rsidR="004A5563" w:rsidRPr="00331500">
        <w:rPr>
          <w:rFonts w:ascii="Times New Roman" w:hAnsi="Times New Roman" w:cs="Times New Roman"/>
          <w:bCs/>
          <w:sz w:val="24"/>
          <w:szCs w:val="24"/>
          <w:lang w:val="bg-BG"/>
        </w:rPr>
        <w:t xml:space="preserve"> </w:t>
      </w:r>
      <w:r w:rsidR="004A5563" w:rsidRPr="00331500">
        <w:rPr>
          <w:rFonts w:ascii="Times New Roman" w:hAnsi="Times New Roman" w:cs="Times New Roman"/>
          <w:bCs/>
          <w:sz w:val="24"/>
          <w:szCs w:val="24"/>
        </w:rPr>
        <w:t>експулсират поради гарантираната от правото на ЕС свобода на движение),</w:t>
      </w:r>
      <w:r w:rsidR="004A5563" w:rsidRPr="00331500">
        <w:rPr>
          <w:rFonts w:ascii="Times New Roman" w:hAnsi="Times New Roman" w:cs="Times New Roman"/>
          <w:bCs/>
          <w:sz w:val="24"/>
          <w:szCs w:val="24"/>
          <w:lang w:val="bg-BG"/>
        </w:rPr>
        <w:t xml:space="preserve"> </w:t>
      </w:r>
      <w:r w:rsidR="004A5563" w:rsidRPr="00331500">
        <w:rPr>
          <w:rFonts w:ascii="Times New Roman" w:hAnsi="Times New Roman" w:cs="Times New Roman"/>
          <w:bCs/>
          <w:sz w:val="24"/>
          <w:szCs w:val="24"/>
        </w:rPr>
        <w:t>но заключава, че разликата в третирането е обоснована.</w:t>
      </w:r>
    </w:p>
    <w:p w:rsidR="004A5563" w:rsidRPr="00331500" w:rsidRDefault="00D92809" w:rsidP="00331500">
      <w:pPr>
        <w:spacing w:after="0" w:line="360" w:lineRule="auto"/>
        <w:ind w:firstLine="709"/>
        <w:jc w:val="both"/>
        <w:rPr>
          <w:rFonts w:ascii="Times New Roman" w:hAnsi="Times New Roman" w:cs="Times New Roman"/>
          <w:bCs/>
          <w:sz w:val="24"/>
          <w:szCs w:val="24"/>
        </w:rPr>
      </w:pPr>
      <w:r w:rsidRPr="00331500">
        <w:rPr>
          <w:rFonts w:ascii="Times New Roman" w:hAnsi="Times New Roman" w:cs="Times New Roman"/>
          <w:bCs/>
          <w:sz w:val="24"/>
          <w:szCs w:val="24"/>
          <w:lang w:val="bg-BG"/>
        </w:rPr>
        <w:t>П</w:t>
      </w:r>
      <w:r w:rsidR="004A5563" w:rsidRPr="00331500">
        <w:rPr>
          <w:rFonts w:ascii="Times New Roman" w:hAnsi="Times New Roman" w:cs="Times New Roman"/>
          <w:bCs/>
          <w:sz w:val="24"/>
          <w:szCs w:val="24"/>
        </w:rPr>
        <w:t>о делото Allonby колежът, в който ищцата е работила като</w:t>
      </w:r>
      <w:r w:rsidR="004A5563" w:rsidRPr="00331500">
        <w:rPr>
          <w:rFonts w:ascii="Times New Roman" w:hAnsi="Times New Roman" w:cs="Times New Roman"/>
          <w:bCs/>
          <w:sz w:val="24"/>
          <w:szCs w:val="24"/>
          <w:lang w:val="bg-BG"/>
        </w:rPr>
        <w:t xml:space="preserve"> </w:t>
      </w:r>
      <w:r w:rsidR="004A5563" w:rsidRPr="00331500">
        <w:rPr>
          <w:rFonts w:ascii="Times New Roman" w:hAnsi="Times New Roman" w:cs="Times New Roman"/>
          <w:bCs/>
          <w:sz w:val="24"/>
          <w:szCs w:val="24"/>
        </w:rPr>
        <w:t>преподавател, не е продължил срока на нейния договор</w:t>
      </w:r>
      <w:r w:rsidR="004A5563" w:rsidRPr="00331500">
        <w:rPr>
          <w:rStyle w:val="FootnoteReference"/>
          <w:rFonts w:ascii="Times New Roman" w:hAnsi="Times New Roman" w:cs="Times New Roman"/>
          <w:bCs/>
          <w:sz w:val="24"/>
          <w:szCs w:val="24"/>
        </w:rPr>
        <w:footnoteReference w:id="6"/>
      </w:r>
      <w:r w:rsidR="004A5563" w:rsidRPr="00331500">
        <w:rPr>
          <w:rFonts w:ascii="Times New Roman" w:hAnsi="Times New Roman" w:cs="Times New Roman"/>
          <w:bCs/>
          <w:sz w:val="24"/>
          <w:szCs w:val="24"/>
        </w:rPr>
        <w:t>. След това ищцата</w:t>
      </w:r>
      <w:r w:rsidR="004A5563" w:rsidRPr="00331500">
        <w:rPr>
          <w:rFonts w:ascii="Times New Roman" w:hAnsi="Times New Roman" w:cs="Times New Roman"/>
          <w:bCs/>
          <w:sz w:val="24"/>
          <w:szCs w:val="24"/>
          <w:lang w:val="bg-BG"/>
        </w:rPr>
        <w:t xml:space="preserve"> </w:t>
      </w:r>
      <w:r w:rsidR="004A5563" w:rsidRPr="00331500">
        <w:rPr>
          <w:rFonts w:ascii="Times New Roman" w:hAnsi="Times New Roman" w:cs="Times New Roman"/>
          <w:bCs/>
          <w:sz w:val="24"/>
          <w:szCs w:val="24"/>
        </w:rPr>
        <w:t>започва работа в дружество, което осигурява преподаватели за работа</w:t>
      </w:r>
      <w:r w:rsidR="004A5563" w:rsidRPr="00331500">
        <w:rPr>
          <w:rFonts w:ascii="Times New Roman" w:hAnsi="Times New Roman" w:cs="Times New Roman"/>
          <w:bCs/>
          <w:sz w:val="24"/>
          <w:szCs w:val="24"/>
          <w:lang w:val="bg-BG"/>
        </w:rPr>
        <w:t xml:space="preserve"> </w:t>
      </w:r>
      <w:r w:rsidR="004A5563" w:rsidRPr="00331500">
        <w:rPr>
          <w:rFonts w:ascii="Times New Roman" w:hAnsi="Times New Roman" w:cs="Times New Roman"/>
          <w:bCs/>
          <w:sz w:val="24"/>
          <w:szCs w:val="24"/>
        </w:rPr>
        <w:t>в образователни заведения. Въпросното дружество изпраща ищцата на</w:t>
      </w:r>
      <w:r w:rsidR="004A5563" w:rsidRPr="00331500">
        <w:rPr>
          <w:rFonts w:ascii="Times New Roman" w:hAnsi="Times New Roman" w:cs="Times New Roman"/>
          <w:bCs/>
          <w:sz w:val="24"/>
          <w:szCs w:val="24"/>
          <w:lang w:val="bg-BG"/>
        </w:rPr>
        <w:t xml:space="preserve"> </w:t>
      </w:r>
      <w:r w:rsidR="004A5563" w:rsidRPr="00331500">
        <w:rPr>
          <w:rFonts w:ascii="Times New Roman" w:hAnsi="Times New Roman" w:cs="Times New Roman"/>
          <w:bCs/>
          <w:sz w:val="24"/>
          <w:szCs w:val="24"/>
        </w:rPr>
        <w:t>работа в същия колеж, където тя изпълнявала същите задължения, но</w:t>
      </w:r>
      <w:r w:rsidR="004A5563" w:rsidRPr="00331500">
        <w:rPr>
          <w:rFonts w:ascii="Times New Roman" w:hAnsi="Times New Roman" w:cs="Times New Roman"/>
          <w:bCs/>
          <w:sz w:val="24"/>
          <w:szCs w:val="24"/>
          <w:lang w:val="bg-BG"/>
        </w:rPr>
        <w:t xml:space="preserve"> </w:t>
      </w:r>
      <w:r w:rsidR="004A5563" w:rsidRPr="00331500">
        <w:rPr>
          <w:rFonts w:ascii="Times New Roman" w:hAnsi="Times New Roman" w:cs="Times New Roman"/>
          <w:bCs/>
          <w:sz w:val="24"/>
          <w:szCs w:val="24"/>
        </w:rPr>
        <w:t>дружеството й заплаща по</w:t>
      </w:r>
      <w:r w:rsidR="004A5563" w:rsidRPr="00331500">
        <w:rPr>
          <w:rFonts w:ascii="Times New Roman" w:hAnsi="Times New Roman" w:cs="Times New Roman"/>
          <w:bCs/>
          <w:sz w:val="24"/>
          <w:szCs w:val="24"/>
        </w:rPr>
        <w:noBreakHyphen/>
        <w:t>ниско възнаграждение в сравнение с това, което</w:t>
      </w:r>
      <w:r w:rsidR="004A5563" w:rsidRPr="00331500">
        <w:rPr>
          <w:rFonts w:ascii="Times New Roman" w:hAnsi="Times New Roman" w:cs="Times New Roman"/>
          <w:bCs/>
          <w:sz w:val="24"/>
          <w:szCs w:val="24"/>
          <w:lang w:val="bg-BG"/>
        </w:rPr>
        <w:t xml:space="preserve"> </w:t>
      </w:r>
      <w:r w:rsidR="004A5563" w:rsidRPr="00331500">
        <w:rPr>
          <w:rFonts w:ascii="Times New Roman" w:hAnsi="Times New Roman" w:cs="Times New Roman"/>
          <w:bCs/>
          <w:sz w:val="24"/>
          <w:szCs w:val="24"/>
        </w:rPr>
        <w:t>е получавала от колежа. Ищцата претендира за наличие на дискриминация,</w:t>
      </w:r>
      <w:r w:rsidR="004A5563" w:rsidRPr="00331500">
        <w:rPr>
          <w:rFonts w:ascii="Times New Roman" w:hAnsi="Times New Roman" w:cs="Times New Roman"/>
          <w:bCs/>
          <w:sz w:val="24"/>
          <w:szCs w:val="24"/>
          <w:lang w:val="bg-BG"/>
        </w:rPr>
        <w:t xml:space="preserve"> </w:t>
      </w:r>
      <w:r w:rsidR="004A5563" w:rsidRPr="00331500">
        <w:rPr>
          <w:rFonts w:ascii="Times New Roman" w:hAnsi="Times New Roman" w:cs="Times New Roman"/>
          <w:bCs/>
          <w:sz w:val="24"/>
          <w:szCs w:val="24"/>
        </w:rPr>
        <w:t>основана на пол, като посочва, че работещите за колежа преподаватели мъже</w:t>
      </w:r>
      <w:r w:rsidR="004A5563" w:rsidRPr="00331500">
        <w:rPr>
          <w:rFonts w:ascii="Times New Roman" w:hAnsi="Times New Roman" w:cs="Times New Roman"/>
          <w:bCs/>
          <w:sz w:val="24"/>
          <w:szCs w:val="24"/>
          <w:lang w:val="bg-BG"/>
        </w:rPr>
        <w:t xml:space="preserve"> </w:t>
      </w:r>
      <w:r w:rsidR="004A5563" w:rsidRPr="00331500">
        <w:rPr>
          <w:rFonts w:ascii="Times New Roman" w:hAnsi="Times New Roman" w:cs="Times New Roman"/>
          <w:bCs/>
          <w:sz w:val="24"/>
          <w:szCs w:val="24"/>
        </w:rPr>
        <w:t>получават повече. СЕ</w:t>
      </w:r>
      <w:r w:rsidR="004A5563" w:rsidRPr="00331500">
        <w:rPr>
          <w:rFonts w:ascii="Times New Roman" w:hAnsi="Times New Roman" w:cs="Times New Roman"/>
          <w:bCs/>
          <w:sz w:val="24"/>
          <w:szCs w:val="24"/>
          <w:lang w:val="bg-BG"/>
        </w:rPr>
        <w:t>С</w:t>
      </w:r>
      <w:r w:rsidR="004A5563" w:rsidRPr="00331500">
        <w:rPr>
          <w:rFonts w:ascii="Times New Roman" w:hAnsi="Times New Roman" w:cs="Times New Roman"/>
          <w:bCs/>
          <w:sz w:val="24"/>
          <w:szCs w:val="24"/>
        </w:rPr>
        <w:t xml:space="preserve"> се е произнесъл, че преподавателите мъже, работещи</w:t>
      </w:r>
      <w:r w:rsidR="004A5563" w:rsidRPr="00331500">
        <w:rPr>
          <w:rFonts w:ascii="Times New Roman" w:hAnsi="Times New Roman" w:cs="Times New Roman"/>
          <w:bCs/>
          <w:sz w:val="24"/>
          <w:szCs w:val="24"/>
          <w:lang w:val="bg-BG"/>
        </w:rPr>
        <w:t xml:space="preserve"> </w:t>
      </w:r>
      <w:r w:rsidR="004A5563" w:rsidRPr="00331500">
        <w:rPr>
          <w:rFonts w:ascii="Times New Roman" w:hAnsi="Times New Roman" w:cs="Times New Roman"/>
          <w:bCs/>
          <w:sz w:val="24"/>
          <w:szCs w:val="24"/>
        </w:rPr>
        <w:t>за колежа, не са в сравнимо положение. Това е така, тъй като колежът не носи</w:t>
      </w:r>
      <w:r w:rsidR="004A5563" w:rsidRPr="00331500">
        <w:rPr>
          <w:rFonts w:ascii="Times New Roman" w:hAnsi="Times New Roman" w:cs="Times New Roman"/>
          <w:bCs/>
          <w:sz w:val="24"/>
          <w:szCs w:val="24"/>
          <w:lang w:val="bg-BG"/>
        </w:rPr>
        <w:t xml:space="preserve"> </w:t>
      </w:r>
      <w:r w:rsidR="004A5563" w:rsidRPr="00331500">
        <w:rPr>
          <w:rFonts w:ascii="Times New Roman" w:hAnsi="Times New Roman" w:cs="Times New Roman"/>
          <w:bCs/>
          <w:sz w:val="24"/>
          <w:szCs w:val="24"/>
        </w:rPr>
        <w:t>отговорност едновременно за размера на възнаграждението на</w:t>
      </w:r>
      <w:r w:rsidR="004A5563" w:rsidRPr="00331500">
        <w:rPr>
          <w:rFonts w:ascii="Times New Roman" w:hAnsi="Times New Roman" w:cs="Times New Roman"/>
          <w:bCs/>
          <w:sz w:val="24"/>
          <w:szCs w:val="24"/>
          <w:lang w:val="bg-BG"/>
        </w:rPr>
        <w:t xml:space="preserve"> </w:t>
      </w:r>
      <w:r w:rsidR="004A5563" w:rsidRPr="00331500">
        <w:rPr>
          <w:rFonts w:ascii="Times New Roman" w:hAnsi="Times New Roman" w:cs="Times New Roman"/>
          <w:bCs/>
          <w:sz w:val="24"/>
          <w:szCs w:val="24"/>
        </w:rPr>
        <w:t>преподавателите мъже, които са в трудови правоотношения с колежа,</w:t>
      </w:r>
      <w:r w:rsidR="004A5563" w:rsidRPr="00331500">
        <w:rPr>
          <w:rFonts w:ascii="Times New Roman" w:hAnsi="Times New Roman" w:cs="Times New Roman"/>
          <w:bCs/>
          <w:sz w:val="24"/>
          <w:szCs w:val="24"/>
          <w:lang w:val="bg-BG"/>
        </w:rPr>
        <w:t xml:space="preserve"> </w:t>
      </w:r>
      <w:r w:rsidR="004A5563" w:rsidRPr="00331500">
        <w:rPr>
          <w:rFonts w:ascii="Times New Roman" w:hAnsi="Times New Roman" w:cs="Times New Roman"/>
          <w:bCs/>
          <w:sz w:val="24"/>
          <w:szCs w:val="24"/>
        </w:rPr>
        <w:t>и ищцата, която е служител на външното дружество. Поради това</w:t>
      </w:r>
      <w:r w:rsidR="004A5563" w:rsidRPr="00331500">
        <w:rPr>
          <w:rFonts w:ascii="Times New Roman" w:hAnsi="Times New Roman" w:cs="Times New Roman"/>
          <w:bCs/>
          <w:sz w:val="24"/>
          <w:szCs w:val="24"/>
          <w:lang w:val="bg-BG"/>
        </w:rPr>
        <w:t xml:space="preserve"> </w:t>
      </w:r>
      <w:r w:rsidR="004A5563" w:rsidRPr="00331500">
        <w:rPr>
          <w:rFonts w:ascii="Times New Roman" w:hAnsi="Times New Roman" w:cs="Times New Roman"/>
          <w:bCs/>
          <w:sz w:val="24"/>
          <w:szCs w:val="24"/>
        </w:rPr>
        <w:t>положението на ищцата и преподавателите мъже не е достатъчно сходно.</w:t>
      </w:r>
    </w:p>
    <w:p w:rsidR="004A5563" w:rsidRPr="00331500" w:rsidRDefault="00D92809" w:rsidP="00331500">
      <w:pPr>
        <w:spacing w:after="0" w:line="360" w:lineRule="auto"/>
        <w:ind w:firstLine="709"/>
        <w:jc w:val="both"/>
        <w:rPr>
          <w:rFonts w:ascii="Times New Roman" w:hAnsi="Times New Roman" w:cs="Times New Roman"/>
          <w:bCs/>
          <w:sz w:val="24"/>
          <w:szCs w:val="24"/>
        </w:rPr>
      </w:pPr>
      <w:r w:rsidRPr="00331500">
        <w:rPr>
          <w:rFonts w:ascii="Times New Roman" w:hAnsi="Times New Roman" w:cs="Times New Roman"/>
          <w:bCs/>
          <w:sz w:val="24"/>
          <w:szCs w:val="24"/>
          <w:lang w:val="bg-BG"/>
        </w:rPr>
        <w:t>П</w:t>
      </w:r>
      <w:r w:rsidR="004A5563" w:rsidRPr="00331500">
        <w:rPr>
          <w:rFonts w:ascii="Times New Roman" w:hAnsi="Times New Roman" w:cs="Times New Roman"/>
          <w:bCs/>
          <w:sz w:val="24"/>
          <w:szCs w:val="24"/>
        </w:rPr>
        <w:t>о делото Luczak срещу Полша фермер от Франция, който</w:t>
      </w:r>
      <w:r w:rsidR="004A5563" w:rsidRPr="00331500">
        <w:rPr>
          <w:rFonts w:ascii="Times New Roman" w:hAnsi="Times New Roman" w:cs="Times New Roman"/>
          <w:bCs/>
          <w:sz w:val="24"/>
          <w:szCs w:val="24"/>
          <w:lang w:val="bg-BG"/>
        </w:rPr>
        <w:t xml:space="preserve"> </w:t>
      </w:r>
      <w:r w:rsidR="004A5563" w:rsidRPr="00331500">
        <w:rPr>
          <w:rFonts w:ascii="Times New Roman" w:hAnsi="Times New Roman" w:cs="Times New Roman"/>
          <w:bCs/>
          <w:sz w:val="24"/>
          <w:szCs w:val="24"/>
        </w:rPr>
        <w:t>живее и се занимава със земеделие в Полша, оспорва отказа да бъде</w:t>
      </w:r>
      <w:r w:rsidR="004A5563" w:rsidRPr="00331500">
        <w:rPr>
          <w:rFonts w:ascii="Times New Roman" w:hAnsi="Times New Roman" w:cs="Times New Roman"/>
          <w:bCs/>
          <w:sz w:val="24"/>
          <w:szCs w:val="24"/>
          <w:lang w:val="bg-BG"/>
        </w:rPr>
        <w:t xml:space="preserve"> </w:t>
      </w:r>
      <w:r w:rsidR="004A5563" w:rsidRPr="00331500">
        <w:rPr>
          <w:rFonts w:ascii="Times New Roman" w:hAnsi="Times New Roman" w:cs="Times New Roman"/>
          <w:bCs/>
          <w:sz w:val="24"/>
          <w:szCs w:val="24"/>
        </w:rPr>
        <w:t>допуснат до участие в специализирана полска схема за обществено</w:t>
      </w:r>
      <w:r w:rsidR="004A5563" w:rsidRPr="00331500">
        <w:rPr>
          <w:rFonts w:ascii="Times New Roman" w:hAnsi="Times New Roman" w:cs="Times New Roman"/>
          <w:bCs/>
          <w:sz w:val="24"/>
          <w:szCs w:val="24"/>
          <w:lang w:val="bg-BG"/>
        </w:rPr>
        <w:t xml:space="preserve"> </w:t>
      </w:r>
      <w:r w:rsidR="004A5563" w:rsidRPr="00331500">
        <w:rPr>
          <w:rFonts w:ascii="Times New Roman" w:hAnsi="Times New Roman" w:cs="Times New Roman"/>
          <w:bCs/>
          <w:sz w:val="24"/>
          <w:szCs w:val="24"/>
        </w:rPr>
        <w:t>осигуряване, създадена конкретно за подпомагане на полските фермери,</w:t>
      </w:r>
      <w:r w:rsidR="004A5563" w:rsidRPr="00331500">
        <w:rPr>
          <w:rFonts w:ascii="Times New Roman" w:hAnsi="Times New Roman" w:cs="Times New Roman"/>
          <w:sz w:val="24"/>
          <w:szCs w:val="24"/>
        </w:rPr>
        <w:t xml:space="preserve"> </w:t>
      </w:r>
      <w:r w:rsidR="004A5563" w:rsidRPr="00331500">
        <w:rPr>
          <w:rFonts w:ascii="Times New Roman" w:hAnsi="Times New Roman" w:cs="Times New Roman"/>
          <w:bCs/>
          <w:sz w:val="24"/>
          <w:szCs w:val="24"/>
        </w:rPr>
        <w:t xml:space="preserve">на основанието, че схемата не е отворена за участие на чужди </w:t>
      </w:r>
      <w:r w:rsidR="004A5563" w:rsidRPr="00331500">
        <w:rPr>
          <w:rFonts w:ascii="Times New Roman" w:hAnsi="Times New Roman" w:cs="Times New Roman"/>
          <w:bCs/>
          <w:sz w:val="24"/>
          <w:szCs w:val="24"/>
        </w:rPr>
        <w:lastRenderedPageBreak/>
        <w:t>граждани.</w:t>
      </w:r>
      <w:r w:rsidR="004A5563" w:rsidRPr="00331500">
        <w:rPr>
          <w:rStyle w:val="FootnoteReference"/>
          <w:rFonts w:ascii="Times New Roman" w:hAnsi="Times New Roman" w:cs="Times New Roman"/>
          <w:bCs/>
          <w:sz w:val="24"/>
          <w:szCs w:val="24"/>
        </w:rPr>
        <w:footnoteReference w:id="7"/>
      </w:r>
      <w:r w:rsidR="004A5563" w:rsidRPr="00331500">
        <w:rPr>
          <w:rFonts w:ascii="Times New Roman" w:hAnsi="Times New Roman" w:cs="Times New Roman"/>
          <w:bCs/>
          <w:sz w:val="24"/>
          <w:szCs w:val="24"/>
          <w:lang w:val="bg-BG"/>
        </w:rPr>
        <w:t xml:space="preserve"> </w:t>
      </w:r>
      <w:r w:rsidR="004A5563" w:rsidRPr="00331500">
        <w:rPr>
          <w:rFonts w:ascii="Times New Roman" w:hAnsi="Times New Roman" w:cs="Times New Roman"/>
          <w:bCs/>
          <w:sz w:val="24"/>
          <w:szCs w:val="24"/>
        </w:rPr>
        <w:t>ЕСПЧ е приел, че жалбоподателят е в сравнимо положение с полските</w:t>
      </w:r>
      <w:r w:rsidR="004A5563" w:rsidRPr="00331500">
        <w:rPr>
          <w:rFonts w:ascii="Times New Roman" w:hAnsi="Times New Roman" w:cs="Times New Roman"/>
          <w:bCs/>
          <w:sz w:val="24"/>
          <w:szCs w:val="24"/>
          <w:lang w:val="bg-BG"/>
        </w:rPr>
        <w:t xml:space="preserve"> </w:t>
      </w:r>
      <w:r w:rsidR="004A5563" w:rsidRPr="00331500">
        <w:rPr>
          <w:rFonts w:ascii="Times New Roman" w:hAnsi="Times New Roman" w:cs="Times New Roman"/>
          <w:bCs/>
          <w:sz w:val="24"/>
          <w:szCs w:val="24"/>
        </w:rPr>
        <w:t>фермери, които участват в схемата, тъй като пребивава постоянно</w:t>
      </w:r>
      <w:r w:rsidR="004A5563" w:rsidRPr="00331500">
        <w:rPr>
          <w:rFonts w:ascii="Times New Roman" w:hAnsi="Times New Roman" w:cs="Times New Roman"/>
          <w:bCs/>
          <w:sz w:val="24"/>
          <w:szCs w:val="24"/>
          <w:lang w:val="bg-BG"/>
        </w:rPr>
        <w:t xml:space="preserve"> </w:t>
      </w:r>
      <w:r w:rsidR="004A5563" w:rsidRPr="00331500">
        <w:rPr>
          <w:rFonts w:ascii="Times New Roman" w:hAnsi="Times New Roman" w:cs="Times New Roman"/>
          <w:bCs/>
          <w:sz w:val="24"/>
          <w:szCs w:val="24"/>
        </w:rPr>
        <w:t>в страната, плаща данъци както местните граждани, с което допринася за</w:t>
      </w:r>
      <w:r w:rsidR="004A5563" w:rsidRPr="00331500">
        <w:rPr>
          <w:rFonts w:ascii="Times New Roman" w:hAnsi="Times New Roman" w:cs="Times New Roman"/>
          <w:bCs/>
          <w:sz w:val="24"/>
          <w:szCs w:val="24"/>
          <w:lang w:val="bg-BG"/>
        </w:rPr>
        <w:t xml:space="preserve"> </w:t>
      </w:r>
      <w:r w:rsidR="004A5563" w:rsidRPr="00331500">
        <w:rPr>
          <w:rFonts w:ascii="Times New Roman" w:hAnsi="Times New Roman" w:cs="Times New Roman"/>
          <w:bCs/>
          <w:sz w:val="24"/>
          <w:szCs w:val="24"/>
        </w:rPr>
        <w:t>финансирането на въпросната осигурителната схема, и е участвал в общата</w:t>
      </w:r>
      <w:r w:rsidR="004A5563" w:rsidRPr="00331500">
        <w:rPr>
          <w:rFonts w:ascii="Times New Roman" w:hAnsi="Times New Roman" w:cs="Times New Roman"/>
          <w:bCs/>
          <w:sz w:val="24"/>
          <w:szCs w:val="24"/>
          <w:lang w:val="bg-BG"/>
        </w:rPr>
        <w:t xml:space="preserve"> </w:t>
      </w:r>
      <w:r w:rsidR="004A5563" w:rsidRPr="00331500">
        <w:rPr>
          <w:rFonts w:ascii="Times New Roman" w:hAnsi="Times New Roman" w:cs="Times New Roman"/>
          <w:bCs/>
          <w:sz w:val="24"/>
          <w:szCs w:val="24"/>
        </w:rPr>
        <w:t>социалноосигурителна система.</w:t>
      </w:r>
    </w:p>
    <w:p w:rsidR="004A5563" w:rsidRPr="00331500" w:rsidRDefault="004A5563" w:rsidP="00331500">
      <w:pPr>
        <w:spacing w:after="0" w:line="360" w:lineRule="auto"/>
        <w:ind w:firstLine="709"/>
        <w:jc w:val="both"/>
        <w:rPr>
          <w:rFonts w:ascii="Times New Roman" w:hAnsi="Times New Roman" w:cs="Times New Roman"/>
          <w:bCs/>
          <w:sz w:val="24"/>
          <w:szCs w:val="24"/>
          <w:lang w:val="bg-BG"/>
        </w:rPr>
      </w:pPr>
      <w:r w:rsidRPr="00331500">
        <w:rPr>
          <w:rFonts w:ascii="Times New Roman" w:hAnsi="Times New Roman" w:cs="Times New Roman"/>
          <w:bCs/>
          <w:sz w:val="24"/>
          <w:szCs w:val="24"/>
          <w:lang w:val="bg-BG"/>
        </w:rPr>
        <w:t>Пример: ищцата по делото Richards се е подложила на хирургическа операция за смяна на пола от мъжки на женски.</w:t>
      </w:r>
      <w:r w:rsidRPr="00331500">
        <w:rPr>
          <w:rFonts w:ascii="Times New Roman" w:hAnsi="Times New Roman" w:cs="Times New Roman"/>
          <w:lang w:val="bg-BG"/>
        </w:rPr>
        <w:footnoteReference w:id="8"/>
      </w:r>
      <w:r w:rsidRPr="00331500">
        <w:rPr>
          <w:rFonts w:ascii="Times New Roman" w:hAnsi="Times New Roman" w:cs="Times New Roman"/>
          <w:bCs/>
          <w:sz w:val="24"/>
          <w:szCs w:val="24"/>
          <w:lang w:val="bg-BG"/>
        </w:rPr>
        <w:t xml:space="preserve"> Тя е подала документи за отпускане на пенсия при навършване на 60 години – възрастта, на която жените получават право на пенсия в Обединеното кралство. Държавната администрация е отказала да отпусне пенсия, като е застъпила позицията, че ищцата не е обект на по</w:t>
      </w:r>
      <w:r w:rsidRPr="00331500">
        <w:rPr>
          <w:rFonts w:ascii="Times New Roman" w:hAnsi="Times New Roman" w:cs="Times New Roman"/>
          <w:bCs/>
          <w:sz w:val="24"/>
          <w:szCs w:val="24"/>
          <w:lang w:val="bg-BG"/>
        </w:rPr>
        <w:noBreakHyphen/>
        <w:t>неблагоприятно третиране в сравнение с лица в сходно положение. Администрацията твърди, че положението на ищцата трябва да се сравнява с това на „мъжете“, тъй като тя е преживяла своя живот като мъж. СЕС е заключил, че тъй като националното право допуска физическите лица да променят пола си, положението на ищцата трябва да се сравнява с това на жените. На това основание е направена констатация за наличие на по</w:t>
      </w:r>
      <w:r w:rsidRPr="00331500">
        <w:rPr>
          <w:rFonts w:ascii="Times New Roman" w:hAnsi="Times New Roman" w:cs="Times New Roman"/>
          <w:bCs/>
          <w:sz w:val="24"/>
          <w:szCs w:val="24"/>
          <w:lang w:val="bg-BG"/>
        </w:rPr>
        <w:noBreakHyphen/>
        <w:t>неблагоприятно третиране на ищцата в сравнение с останалите жени, изразяващо се в определяне на по</w:t>
      </w:r>
      <w:r w:rsidRPr="00331500">
        <w:rPr>
          <w:rFonts w:ascii="Times New Roman" w:hAnsi="Times New Roman" w:cs="Times New Roman"/>
          <w:bCs/>
          <w:sz w:val="24"/>
          <w:szCs w:val="24"/>
          <w:lang w:val="bg-BG"/>
        </w:rPr>
        <w:noBreakHyphen/>
        <w:t xml:space="preserve">висока пенсионна възраст. </w:t>
      </w:r>
    </w:p>
    <w:p w:rsidR="004A5563" w:rsidRPr="00331500" w:rsidRDefault="00D92809" w:rsidP="00331500">
      <w:pPr>
        <w:spacing w:after="0" w:line="360" w:lineRule="auto"/>
        <w:ind w:firstLine="709"/>
        <w:jc w:val="both"/>
        <w:rPr>
          <w:rFonts w:ascii="Times New Roman" w:hAnsi="Times New Roman" w:cs="Times New Roman"/>
          <w:bCs/>
          <w:sz w:val="24"/>
          <w:szCs w:val="24"/>
          <w:lang w:val="bg-BG"/>
        </w:rPr>
      </w:pPr>
      <w:r w:rsidRPr="00331500">
        <w:rPr>
          <w:rFonts w:ascii="Times New Roman" w:hAnsi="Times New Roman" w:cs="Times New Roman"/>
          <w:bCs/>
          <w:sz w:val="24"/>
          <w:szCs w:val="24"/>
          <w:lang w:val="bg-BG"/>
        </w:rPr>
        <w:t>П</w:t>
      </w:r>
      <w:r w:rsidR="004A5563" w:rsidRPr="00331500">
        <w:rPr>
          <w:rFonts w:ascii="Times New Roman" w:hAnsi="Times New Roman" w:cs="Times New Roman"/>
          <w:bCs/>
          <w:sz w:val="24"/>
          <w:szCs w:val="24"/>
          <w:lang w:val="bg-BG"/>
        </w:rPr>
        <w:t>о делото Burden срещу Обединеното кралство две сестри са живели заедно в продължение на 31 години</w:t>
      </w:r>
      <w:r w:rsidR="004A5563" w:rsidRPr="00331500">
        <w:rPr>
          <w:rFonts w:ascii="Times New Roman" w:hAnsi="Times New Roman" w:cs="Times New Roman"/>
        </w:rPr>
        <w:footnoteReference w:id="9"/>
      </w:r>
      <w:r w:rsidR="004A5563" w:rsidRPr="00331500">
        <w:rPr>
          <w:rFonts w:ascii="Times New Roman" w:hAnsi="Times New Roman" w:cs="Times New Roman"/>
          <w:bCs/>
          <w:sz w:val="24"/>
          <w:szCs w:val="24"/>
          <w:lang w:val="bg-BG"/>
        </w:rPr>
        <w:t>. Те са притежавали недвижим имот в съсобственост и всяка от тях е завещала своя дял от имота на другата. Жалбоподателите твърдят, че, тъй като стойността на имота надхвърля определения праг, при смъртта на едната от тях другата ще трябва да заплати данък върху наследството. Те заявяват, че това е дискриминационна намеса в тяхното право на собственост, тъй като семейните двойки и двойките, които живеят в регистрирано съжителство, са освободени от заплащане на данък върху наследството. ЕСПЧ заключава, обаче, че жалбоподателите, които са сестри, не могат да се сравняват с двойките, живеещи в съжителство, които са сключили брак и споразумение за регистрирано съжителство. Бракът и регистрираното съжителство представляват специални отношения, в които се встъпва свободно и съзнателно с цел пораждане на договорни права и задължения. От друга страна, отношенията между жалбоподателите се основава на кръвно родство, поради което е съществено различно.</w:t>
      </w:r>
    </w:p>
    <w:p w:rsidR="004A5563" w:rsidRPr="00331500" w:rsidRDefault="00D92809" w:rsidP="00331500">
      <w:pPr>
        <w:spacing w:after="0" w:line="360" w:lineRule="auto"/>
        <w:ind w:firstLine="709"/>
        <w:jc w:val="both"/>
        <w:rPr>
          <w:rFonts w:ascii="Times New Roman" w:hAnsi="Times New Roman" w:cs="Times New Roman"/>
          <w:bCs/>
          <w:sz w:val="24"/>
          <w:szCs w:val="24"/>
          <w:lang w:val="bg-BG"/>
        </w:rPr>
      </w:pPr>
      <w:r w:rsidRPr="00331500">
        <w:rPr>
          <w:rFonts w:ascii="Times New Roman" w:hAnsi="Times New Roman" w:cs="Times New Roman"/>
          <w:bCs/>
          <w:sz w:val="24"/>
          <w:szCs w:val="24"/>
          <w:lang w:val="bg-BG"/>
        </w:rPr>
        <w:lastRenderedPageBreak/>
        <w:t>П</w:t>
      </w:r>
      <w:r w:rsidR="004A5563" w:rsidRPr="00331500">
        <w:rPr>
          <w:rFonts w:ascii="Times New Roman" w:hAnsi="Times New Roman" w:cs="Times New Roman"/>
          <w:bCs/>
          <w:sz w:val="24"/>
          <w:szCs w:val="24"/>
          <w:lang w:val="bg-BG"/>
        </w:rPr>
        <w:t>о делото Carson и други срещу Обединеното кралство жалбоподателите твърдят, че правителството на Обединеното кралство не е приложило еднакъв коефициент на увеличение на пенсионните плащания на пенсионерите, живеещи в чужбина и в Обединеното кралство</w:t>
      </w:r>
      <w:r w:rsidR="004A5563" w:rsidRPr="00331500">
        <w:rPr>
          <w:rStyle w:val="FootnoteReference"/>
          <w:rFonts w:ascii="Times New Roman" w:hAnsi="Times New Roman" w:cs="Times New Roman"/>
          <w:bCs/>
          <w:sz w:val="24"/>
          <w:szCs w:val="24"/>
          <w:lang w:val="bg-BG"/>
        </w:rPr>
        <w:footnoteReference w:id="10"/>
      </w:r>
      <w:r w:rsidR="004A5563" w:rsidRPr="00331500">
        <w:rPr>
          <w:rFonts w:ascii="Times New Roman" w:hAnsi="Times New Roman" w:cs="Times New Roman"/>
          <w:bCs/>
          <w:sz w:val="24"/>
          <w:szCs w:val="24"/>
          <w:lang w:val="bg-BG"/>
        </w:rPr>
        <w:t>. Според правото на Обединеното кралство коефициентите се прилагат само към пенсиите на лицата с местожителство в Обединеното кралство, с изключение на гражданите на Обединеното кралство, които са се пенсионирали в държави, с които Обединеното кралство има сключено споразумение за реципрочност в областта на общественото осигуряване. Жалбоподателите, които не живеят в държава, с която Обединеното кралство е сключило такова споразумение, твърдят, че са обект на дискриминация на основание на тяхното местожителство. ЕСПЧ не е приел тезата на жалбоподателите, че те са в сходно положение с пенсионерите, живеещи в Обединеното кралство, или с гражданите на Обединеното кралство, които са се пенсионирали в страни, с които Обединеното кралство е сключило споразумение за реципрочност. Според решението на ЕСПЧ, въпреки че тези различни групи са давали своя принос в бюджетните приходи посредством плащането на социалноосигурителни вноски, тази схема не представлява пенсионен фонд, а общи публични приходи, с които се финансират различни публични разходи. Освен това задължението на правителството да прилага коефициенти на увеличение се основава на съображения, свързани с нарастването на разходите, произтичащи от стандарта на живот в Обединеното кралство. Това означава, че жалбоподателите не са в сравнимо положение с посочените групи лица, от което следва, че не е налице дискриминационно третиране.</w:t>
      </w:r>
    </w:p>
    <w:p w:rsidR="004A5563" w:rsidRPr="00331500" w:rsidRDefault="004A5563" w:rsidP="00331500">
      <w:pPr>
        <w:spacing w:after="0" w:line="360" w:lineRule="auto"/>
        <w:ind w:firstLine="709"/>
        <w:jc w:val="both"/>
        <w:rPr>
          <w:rFonts w:ascii="Times New Roman" w:hAnsi="Times New Roman" w:cs="Times New Roman"/>
          <w:bCs/>
          <w:sz w:val="24"/>
          <w:szCs w:val="24"/>
          <w:lang w:val="bg-BG"/>
        </w:rPr>
      </w:pPr>
      <w:r w:rsidRPr="00331500">
        <w:rPr>
          <w:rFonts w:ascii="Times New Roman" w:hAnsi="Times New Roman" w:cs="Times New Roman"/>
          <w:bCs/>
          <w:sz w:val="24"/>
          <w:szCs w:val="24"/>
          <w:lang w:val="bg-BG"/>
        </w:rPr>
        <w:t>Едно изключение от изискването за намиране на подходящ „случай за сравнение“, валидно поне в контекста на правото на ЕС в областта на заетостта, са случаите, в които пострадалите са били подложени на дискриминация поради факта, че са бременни. В дълга поредица от решения на СЕС, които започват с решението по знаковото дело Dekker, е установено правилото, че когато вредите, претърпени от физическо лице се дължат на обстоятелството бременност, случаят се квалифицира като пряка дискриминация, основана на пола на дискриминираното лице, без да се изисква привеждане на случай за сравнение.</w:t>
      </w:r>
      <w:r w:rsidRPr="00331500">
        <w:rPr>
          <w:rStyle w:val="FootnoteReference"/>
          <w:rFonts w:ascii="Times New Roman" w:hAnsi="Times New Roman" w:cs="Times New Roman"/>
          <w:bCs/>
          <w:sz w:val="24"/>
          <w:szCs w:val="24"/>
          <w:lang w:val="bg-BG"/>
        </w:rPr>
        <w:footnoteReference w:id="11"/>
      </w:r>
    </w:p>
    <w:p w:rsidR="004A5563" w:rsidRPr="00331500" w:rsidRDefault="004A5563" w:rsidP="00331500">
      <w:pPr>
        <w:spacing w:after="0" w:line="360" w:lineRule="auto"/>
        <w:ind w:firstLine="709"/>
        <w:jc w:val="both"/>
        <w:rPr>
          <w:rFonts w:ascii="Times New Roman" w:hAnsi="Times New Roman" w:cs="Times New Roman"/>
          <w:bCs/>
          <w:sz w:val="24"/>
          <w:szCs w:val="24"/>
          <w:lang w:val="bg-BG"/>
        </w:rPr>
      </w:pPr>
      <w:r w:rsidRPr="00331500">
        <w:rPr>
          <w:rFonts w:ascii="Times New Roman" w:hAnsi="Times New Roman" w:cs="Times New Roman"/>
          <w:bCs/>
          <w:sz w:val="24"/>
          <w:szCs w:val="24"/>
          <w:lang w:val="bg-BG"/>
        </w:rPr>
        <w:lastRenderedPageBreak/>
        <w:t>Основанията, предмет на защита, предвидени в европейското право в областта на защитата срещу дискриминация: пол, сексуална ориентация, увреждане, възраст, раса, етнически произход, национален произход и религия или убеждение. Важно е да се подчертае, че е необходимо установяване на причинна връзка между по</w:t>
      </w:r>
      <w:r w:rsidRPr="00331500">
        <w:rPr>
          <w:rFonts w:ascii="Times New Roman" w:hAnsi="Times New Roman" w:cs="Times New Roman"/>
          <w:bCs/>
          <w:sz w:val="24"/>
          <w:szCs w:val="24"/>
          <w:lang w:val="bg-BG"/>
        </w:rPr>
        <w:noBreakHyphen/>
        <w:t xml:space="preserve">неблагоприятното третиране и признакът, предмет на защита. Не е задължително прилаганото правило или практика да съдържат изрично позоваване на „признака, предмет на защита“, доколкото те се позовават на друг фактор, който е неотделим от признака, предмет на защита. </w:t>
      </w:r>
      <w:r w:rsidR="00D97F62" w:rsidRPr="00331500">
        <w:rPr>
          <w:rFonts w:ascii="Times New Roman" w:hAnsi="Times New Roman" w:cs="Times New Roman"/>
          <w:bCs/>
          <w:sz w:val="24"/>
          <w:szCs w:val="24"/>
          <w:lang w:val="bg-BG"/>
        </w:rPr>
        <w:t>К</w:t>
      </w:r>
      <w:r w:rsidRPr="00331500">
        <w:rPr>
          <w:rFonts w:ascii="Times New Roman" w:hAnsi="Times New Roman" w:cs="Times New Roman"/>
          <w:bCs/>
          <w:sz w:val="24"/>
          <w:szCs w:val="24"/>
          <w:lang w:val="bg-BG"/>
        </w:rPr>
        <w:t>огато се преценява дали е налице пряка дискриминация, е достатъчно да се установи дали по</w:t>
      </w:r>
      <w:r w:rsidRPr="00331500">
        <w:rPr>
          <w:rFonts w:ascii="Times New Roman" w:hAnsi="Times New Roman" w:cs="Times New Roman"/>
          <w:bCs/>
          <w:sz w:val="24"/>
          <w:szCs w:val="24"/>
          <w:lang w:val="bg-BG"/>
        </w:rPr>
        <w:noBreakHyphen/>
        <w:t>неблагоприятното третиране се дължи на „признак, предмет на защита“, което не може да се отдели от конкретния фактор, който е предмет на жалбата.</w:t>
      </w:r>
    </w:p>
    <w:p w:rsidR="004A5563" w:rsidRPr="00331500" w:rsidRDefault="00D97F62" w:rsidP="00331500">
      <w:pPr>
        <w:spacing w:after="0" w:line="360" w:lineRule="auto"/>
        <w:ind w:firstLine="709"/>
        <w:jc w:val="both"/>
        <w:rPr>
          <w:rFonts w:ascii="Times New Roman" w:hAnsi="Times New Roman" w:cs="Times New Roman"/>
          <w:bCs/>
          <w:sz w:val="24"/>
          <w:szCs w:val="24"/>
          <w:lang w:val="bg-BG"/>
        </w:rPr>
      </w:pPr>
      <w:r w:rsidRPr="00331500">
        <w:rPr>
          <w:rFonts w:ascii="Times New Roman" w:hAnsi="Times New Roman" w:cs="Times New Roman"/>
          <w:bCs/>
          <w:sz w:val="24"/>
          <w:szCs w:val="24"/>
          <w:lang w:val="bg-BG"/>
        </w:rPr>
        <w:t>Ж</w:t>
      </w:r>
      <w:r w:rsidR="004A5563" w:rsidRPr="00331500">
        <w:rPr>
          <w:rFonts w:ascii="Times New Roman" w:hAnsi="Times New Roman" w:cs="Times New Roman"/>
          <w:bCs/>
          <w:sz w:val="24"/>
          <w:szCs w:val="24"/>
          <w:lang w:val="bg-BG"/>
        </w:rPr>
        <w:t>албоподателят по делото Aziz срещу Кипър изтъква, че е бил лишен от правото да гласува поради своята турско</w:t>
      </w:r>
      <w:r w:rsidR="004A5563" w:rsidRPr="00331500">
        <w:rPr>
          <w:rFonts w:ascii="Times New Roman" w:hAnsi="Times New Roman" w:cs="Times New Roman"/>
          <w:bCs/>
          <w:sz w:val="24"/>
          <w:szCs w:val="24"/>
          <w:lang w:val="bg-BG"/>
        </w:rPr>
        <w:noBreakHyphen/>
        <w:t>кипърска етническа принадлежност</w:t>
      </w:r>
      <w:r w:rsidR="004A5563" w:rsidRPr="00331500">
        <w:rPr>
          <w:rStyle w:val="FootnoteReference"/>
          <w:rFonts w:ascii="Times New Roman" w:hAnsi="Times New Roman" w:cs="Times New Roman"/>
          <w:bCs/>
          <w:sz w:val="24"/>
          <w:szCs w:val="24"/>
          <w:lang w:val="bg-BG"/>
        </w:rPr>
        <w:footnoteReference w:id="12"/>
      </w:r>
      <w:r w:rsidR="004A5563" w:rsidRPr="00331500">
        <w:rPr>
          <w:rFonts w:ascii="Times New Roman" w:hAnsi="Times New Roman" w:cs="Times New Roman"/>
          <w:bCs/>
          <w:sz w:val="24"/>
          <w:szCs w:val="24"/>
          <w:lang w:val="bg-BG"/>
        </w:rPr>
        <w:t>. Действащото кипърско право допуска кипърските турци и кипърските гърци да гласуват в парламентарни избори само за кандидати от съответните им етнически общности. След турската окупация на Северен Кипър обаче голямото мнозинство от турската общност е напуснало територията на страната и тяхното участие в парламента е прекратено.</w:t>
      </w:r>
      <w:r w:rsidRPr="00331500">
        <w:rPr>
          <w:rFonts w:ascii="Times New Roman" w:hAnsi="Times New Roman" w:cs="Times New Roman"/>
          <w:bCs/>
          <w:sz w:val="24"/>
          <w:szCs w:val="24"/>
          <w:lang w:val="bg-BG"/>
        </w:rPr>
        <w:t xml:space="preserve"> </w:t>
      </w:r>
      <w:r w:rsidR="004A5563" w:rsidRPr="00331500">
        <w:rPr>
          <w:rFonts w:ascii="Times New Roman" w:hAnsi="Times New Roman" w:cs="Times New Roman"/>
          <w:bCs/>
          <w:sz w:val="24"/>
          <w:szCs w:val="24"/>
          <w:lang w:val="bg-BG"/>
        </w:rPr>
        <w:t>Поради това в парламентарните избори вече не участват кандидати, за които жалбоподателят би могъл да гласува. Въпреки довода на правителството, че невъзможността за гласуване се дължи на факта, че липсват кандидати, за</w:t>
      </w:r>
      <w:r w:rsidR="004A5563" w:rsidRPr="00331500">
        <w:rPr>
          <w:rFonts w:ascii="Times New Roman" w:hAnsi="Times New Roman" w:cs="Times New Roman"/>
          <w:sz w:val="24"/>
          <w:szCs w:val="24"/>
        </w:rPr>
        <w:t xml:space="preserve"> </w:t>
      </w:r>
      <w:r w:rsidR="004A5563" w:rsidRPr="00331500">
        <w:rPr>
          <w:rFonts w:ascii="Times New Roman" w:hAnsi="Times New Roman" w:cs="Times New Roman"/>
          <w:bCs/>
          <w:sz w:val="24"/>
          <w:szCs w:val="24"/>
          <w:lang w:val="bg-BG"/>
        </w:rPr>
        <w:t>които жалбоподателят би могъл да гласува, ЕСПЧ е застъпил становището, че тясната връзка между изборните правила и принадлежността към турско</w:t>
      </w:r>
      <w:r w:rsidR="004A5563" w:rsidRPr="00331500">
        <w:rPr>
          <w:rFonts w:ascii="Times New Roman" w:hAnsi="Times New Roman" w:cs="Times New Roman"/>
          <w:bCs/>
          <w:sz w:val="24"/>
          <w:szCs w:val="24"/>
          <w:lang w:val="bg-BG"/>
        </w:rPr>
        <w:noBreakHyphen/>
        <w:t>кипърската общност, в съчетание с отказа на правителството да коригира изборните правила предвид ситуацията, означава, че случаят представлява пряка дискриминация, основана на етническа принадлежност.</w:t>
      </w:r>
    </w:p>
    <w:p w:rsidR="00D97F62" w:rsidRPr="00331500" w:rsidRDefault="004A5563" w:rsidP="00331500">
      <w:pPr>
        <w:spacing w:after="0" w:line="360" w:lineRule="auto"/>
        <w:ind w:firstLine="709"/>
        <w:jc w:val="both"/>
        <w:rPr>
          <w:rFonts w:ascii="Times New Roman" w:hAnsi="Times New Roman" w:cs="Times New Roman"/>
          <w:bCs/>
          <w:sz w:val="24"/>
          <w:szCs w:val="24"/>
          <w:lang w:val="bg-BG"/>
        </w:rPr>
      </w:pPr>
      <w:r w:rsidRPr="00331500">
        <w:rPr>
          <w:rFonts w:ascii="Times New Roman" w:hAnsi="Times New Roman" w:cs="Times New Roman"/>
          <w:bCs/>
          <w:sz w:val="24"/>
          <w:szCs w:val="24"/>
          <w:lang w:val="bg-BG"/>
        </w:rPr>
        <w:t>Съдилищата са дали широко тълкуване на обхвата на признака „предмет на защита“. То може да включва „дискриминация поради връзка“, когато жертвата на дискриминацията не е лицето, притежаващо характеристиката, предмет на защита. Възможно е също така конкретният признак да бъде тълкуван абстрактно. Това налага практикуващите юристи да извършат подробен анализ на основанията за по</w:t>
      </w:r>
      <w:r w:rsidRPr="00331500">
        <w:rPr>
          <w:rFonts w:ascii="Times New Roman" w:hAnsi="Times New Roman" w:cs="Times New Roman"/>
          <w:bCs/>
          <w:sz w:val="24"/>
          <w:szCs w:val="24"/>
          <w:lang w:val="bg-BG"/>
        </w:rPr>
        <w:noBreakHyphen/>
        <w:t>неблагоприятното третиране, като потърсят данни, че признакът, предмет на защита, е причинил пряко или непряко това третиране.</w:t>
      </w:r>
    </w:p>
    <w:p w:rsidR="004A5563" w:rsidRPr="00331500" w:rsidRDefault="00D97F62" w:rsidP="00331500">
      <w:pPr>
        <w:spacing w:after="0" w:line="360" w:lineRule="auto"/>
        <w:ind w:firstLine="709"/>
        <w:jc w:val="both"/>
        <w:rPr>
          <w:rFonts w:ascii="Times New Roman" w:hAnsi="Times New Roman" w:cs="Times New Roman"/>
          <w:bCs/>
          <w:sz w:val="24"/>
          <w:szCs w:val="24"/>
          <w:lang w:val="bg-BG"/>
        </w:rPr>
      </w:pPr>
      <w:r w:rsidRPr="00331500">
        <w:rPr>
          <w:rFonts w:ascii="Times New Roman" w:hAnsi="Times New Roman" w:cs="Times New Roman"/>
          <w:bCs/>
          <w:sz w:val="24"/>
          <w:szCs w:val="24"/>
          <w:lang w:val="bg-BG"/>
        </w:rPr>
        <w:lastRenderedPageBreak/>
        <w:t xml:space="preserve">По </w:t>
      </w:r>
      <w:r w:rsidR="004A5563" w:rsidRPr="00331500">
        <w:rPr>
          <w:rFonts w:ascii="Times New Roman" w:hAnsi="Times New Roman" w:cs="Times New Roman"/>
          <w:bCs/>
          <w:sz w:val="24"/>
          <w:szCs w:val="24"/>
          <w:lang w:val="bg-BG"/>
        </w:rPr>
        <w:t>делото Coleman срещу Attridge Law и Steve Law, е майка, която твърди, че е била жертва на неблагоприятно третиране на работното си място на основание на факта, че синът й има увреждане.</w:t>
      </w:r>
      <w:r w:rsidR="004A5563" w:rsidRPr="00331500">
        <w:rPr>
          <w:rStyle w:val="FootnoteReference"/>
          <w:rFonts w:ascii="Times New Roman" w:hAnsi="Times New Roman" w:cs="Times New Roman"/>
          <w:bCs/>
          <w:sz w:val="24"/>
          <w:szCs w:val="24"/>
          <w:lang w:val="bg-BG"/>
        </w:rPr>
        <w:footnoteReference w:id="13"/>
      </w:r>
      <w:r w:rsidR="004A5563" w:rsidRPr="00331500">
        <w:rPr>
          <w:rFonts w:ascii="Times New Roman" w:hAnsi="Times New Roman" w:cs="Times New Roman"/>
          <w:bCs/>
          <w:sz w:val="24"/>
          <w:szCs w:val="24"/>
          <w:lang w:val="bg-BG"/>
        </w:rPr>
        <w:t xml:space="preserve"> Поради увреждането на сина си понякога ищцата е закъснявала за работа и е поискала работното й време да бъде съобразено с нуждите на сина й. Молбите на ищцата са били отхвърлени и тя е била заплашена с уволнение, а също така е била обект на словесни нападки по повод състоянието на детето й. СЕС е приел колегите на ищцата, които имат деца и работят на сходни длъжности, като подходящи случаи за сравнение, като е констатирал, че при поискване на тях са били предоставяни гъвкави условия за работа. Освен това съдът е приел, че случаят представлява дискриминация и тормоз, основани на увреждането на детето на ищцата.</w:t>
      </w:r>
    </w:p>
    <w:p w:rsidR="00D97F62" w:rsidRPr="00331500" w:rsidRDefault="00D97F62" w:rsidP="00331500">
      <w:pPr>
        <w:spacing w:after="0" w:line="360" w:lineRule="auto"/>
        <w:ind w:firstLine="708"/>
        <w:jc w:val="both"/>
        <w:rPr>
          <w:rFonts w:ascii="Times New Roman" w:hAnsi="Times New Roman" w:cs="Times New Roman"/>
          <w:bCs/>
          <w:sz w:val="24"/>
          <w:szCs w:val="24"/>
          <w:lang w:val="bg-BG"/>
        </w:rPr>
      </w:pPr>
    </w:p>
    <w:p w:rsidR="004A5563" w:rsidRPr="00331500" w:rsidRDefault="004A5563" w:rsidP="00331500">
      <w:pPr>
        <w:spacing w:after="0" w:line="360" w:lineRule="auto"/>
        <w:ind w:left="708"/>
        <w:jc w:val="both"/>
        <w:rPr>
          <w:rFonts w:ascii="Times New Roman" w:hAnsi="Times New Roman" w:cs="Times New Roman"/>
          <w:bCs/>
          <w:sz w:val="24"/>
          <w:szCs w:val="24"/>
          <w:lang w:val="bg-BG"/>
        </w:rPr>
      </w:pPr>
      <w:r w:rsidRPr="00331500">
        <w:rPr>
          <w:rFonts w:ascii="Times New Roman" w:hAnsi="Times New Roman" w:cs="Times New Roman"/>
          <w:b/>
          <w:bCs/>
          <w:sz w:val="24"/>
          <w:szCs w:val="24"/>
          <w:lang w:val="bg-BG"/>
        </w:rPr>
        <w:t>Непряка дискриминация</w:t>
      </w:r>
      <w:r w:rsidR="00F476E7" w:rsidRPr="00331500">
        <w:rPr>
          <w:rFonts w:ascii="Times New Roman" w:hAnsi="Times New Roman" w:cs="Times New Roman"/>
          <w:b/>
          <w:bCs/>
          <w:sz w:val="24"/>
          <w:szCs w:val="24"/>
          <w:lang w:val="bg-BG"/>
        </w:rPr>
        <w:t xml:space="preserve"> и практиката на Съда на ЕС и Европейския съд по </w:t>
      </w:r>
      <w:r w:rsidR="00331500">
        <w:rPr>
          <w:rFonts w:ascii="Times New Roman" w:hAnsi="Times New Roman" w:cs="Times New Roman"/>
          <w:b/>
          <w:bCs/>
          <w:sz w:val="24"/>
          <w:szCs w:val="24"/>
          <w:lang w:val="bg-BG"/>
        </w:rPr>
        <w:t>правата на човека</w:t>
      </w:r>
    </w:p>
    <w:p w:rsidR="004A5563" w:rsidRPr="00331500" w:rsidRDefault="004A5563" w:rsidP="00331500">
      <w:pPr>
        <w:spacing w:after="0" w:line="360" w:lineRule="auto"/>
        <w:ind w:firstLine="708"/>
        <w:jc w:val="both"/>
        <w:rPr>
          <w:rFonts w:ascii="Times New Roman" w:hAnsi="Times New Roman" w:cs="Times New Roman"/>
          <w:bCs/>
          <w:sz w:val="24"/>
          <w:szCs w:val="24"/>
          <w:lang w:val="bg-BG"/>
        </w:rPr>
      </w:pPr>
      <w:r w:rsidRPr="00331500">
        <w:rPr>
          <w:rFonts w:ascii="Times New Roman" w:hAnsi="Times New Roman" w:cs="Times New Roman"/>
          <w:bCs/>
          <w:sz w:val="24"/>
          <w:szCs w:val="24"/>
          <w:lang w:val="bg-BG"/>
        </w:rPr>
        <w:t xml:space="preserve">Както в правото на ЕС, така и в ЕКЗПЧОС се отчита, че дискриминация може да е налице не само в случаи на различно третиране на лица в сходно положение, но и в случаи на еднакво третиране на лица в различно положение. В последната ситуация се </w:t>
      </w:r>
      <w:r w:rsidR="00D97F62" w:rsidRPr="00331500">
        <w:rPr>
          <w:rFonts w:ascii="Times New Roman" w:hAnsi="Times New Roman" w:cs="Times New Roman"/>
          <w:bCs/>
          <w:sz w:val="24"/>
          <w:szCs w:val="24"/>
          <w:lang w:val="bg-BG"/>
        </w:rPr>
        <w:t xml:space="preserve">идентифицира понятието </w:t>
      </w:r>
      <w:r w:rsidRPr="00331500">
        <w:rPr>
          <w:rFonts w:ascii="Times New Roman" w:hAnsi="Times New Roman" w:cs="Times New Roman"/>
          <w:bCs/>
          <w:sz w:val="24"/>
          <w:szCs w:val="24"/>
          <w:lang w:val="bg-BG"/>
        </w:rPr>
        <w:t>за „непряка дискриминация“, защото се различава не третирането, а последицита от това третиране, които засягат по различен начин лица с различни характеристики. В член 2, параграф 2, буква б) от Директивата за расовото равенство се посочва, че „проява на непряка дискриминация има, когато видимо неутрална разпоредба, критерий или практика биха поставили лицата от дадена раса или етнически произход в особено неблагоприятно положение в сравнение с други лица“</w:t>
      </w:r>
      <w:r w:rsidRPr="00331500">
        <w:rPr>
          <w:rStyle w:val="FootnoteReference"/>
          <w:rFonts w:ascii="Times New Roman" w:hAnsi="Times New Roman" w:cs="Times New Roman"/>
          <w:bCs/>
          <w:sz w:val="24"/>
          <w:szCs w:val="24"/>
          <w:lang w:val="bg-BG"/>
        </w:rPr>
        <w:footnoteReference w:id="14"/>
      </w:r>
      <w:r w:rsidRPr="00331500">
        <w:rPr>
          <w:rFonts w:ascii="Times New Roman" w:hAnsi="Times New Roman" w:cs="Times New Roman"/>
          <w:bCs/>
          <w:sz w:val="24"/>
          <w:szCs w:val="24"/>
          <w:lang w:val="bg-BG"/>
        </w:rPr>
        <w:t>. ЕСПЧ е използвал в някои от по</w:t>
      </w:r>
      <w:r w:rsidRPr="00331500">
        <w:rPr>
          <w:rFonts w:ascii="Times New Roman" w:hAnsi="Times New Roman" w:cs="Times New Roman"/>
          <w:bCs/>
          <w:sz w:val="24"/>
          <w:szCs w:val="24"/>
          <w:lang w:val="bg-BG"/>
        </w:rPr>
        <w:noBreakHyphen/>
        <w:t>новите си решения това определение на непряката дискриминация, като е посочил, че „разликата в третирането може да се прояви под формата на непропорционално неблагоприятно въздействие на обща политика или мярка, която, макар да е формулирана формално неутрално, представлява дискриминация срещу определена група“</w:t>
      </w:r>
      <w:r w:rsidRPr="00331500">
        <w:rPr>
          <w:rStyle w:val="FootnoteReference"/>
          <w:rFonts w:ascii="Times New Roman" w:hAnsi="Times New Roman" w:cs="Times New Roman"/>
          <w:bCs/>
          <w:sz w:val="24"/>
          <w:szCs w:val="24"/>
          <w:lang w:val="bg-BG"/>
        </w:rPr>
        <w:footnoteReference w:id="15"/>
      </w:r>
      <w:r w:rsidRPr="00331500">
        <w:rPr>
          <w:rFonts w:ascii="Times New Roman" w:hAnsi="Times New Roman" w:cs="Times New Roman"/>
          <w:bCs/>
          <w:sz w:val="24"/>
          <w:szCs w:val="24"/>
          <w:lang w:val="bg-BG"/>
        </w:rPr>
        <w:t>.</w:t>
      </w:r>
    </w:p>
    <w:p w:rsidR="008843F3" w:rsidRPr="00331500" w:rsidRDefault="004A5563" w:rsidP="00331500">
      <w:pPr>
        <w:spacing w:after="0" w:line="360" w:lineRule="auto"/>
        <w:ind w:firstLine="709"/>
        <w:jc w:val="both"/>
        <w:rPr>
          <w:rFonts w:ascii="Times New Roman" w:hAnsi="Times New Roman" w:cs="Times New Roman"/>
          <w:bCs/>
          <w:sz w:val="24"/>
          <w:szCs w:val="24"/>
          <w:lang w:val="bg-BG"/>
        </w:rPr>
      </w:pPr>
      <w:r w:rsidRPr="00331500">
        <w:rPr>
          <w:rFonts w:ascii="Times New Roman" w:hAnsi="Times New Roman" w:cs="Times New Roman"/>
          <w:bCs/>
          <w:sz w:val="24"/>
          <w:szCs w:val="24"/>
          <w:lang w:val="bg-BG"/>
        </w:rPr>
        <w:lastRenderedPageBreak/>
        <w:t>Елементите на непряката дискриминация са: неутрално правило, критерий или практика, които засягат група, обединена от „признак, предмет на защита“, по значително по</w:t>
      </w:r>
      <w:r w:rsidRPr="00331500">
        <w:rPr>
          <w:rFonts w:ascii="Times New Roman" w:hAnsi="Times New Roman" w:cs="Times New Roman"/>
          <w:bCs/>
          <w:sz w:val="24"/>
          <w:szCs w:val="24"/>
          <w:lang w:val="bg-BG"/>
        </w:rPr>
        <w:noBreakHyphen/>
        <w:t>отрицателен начин, в сравнение с други лица в сходно положение.</w:t>
      </w:r>
      <w:r w:rsidR="00D97F62" w:rsidRPr="00331500">
        <w:rPr>
          <w:rFonts w:ascii="Times New Roman" w:hAnsi="Times New Roman" w:cs="Times New Roman"/>
          <w:bCs/>
          <w:sz w:val="24"/>
          <w:szCs w:val="24"/>
          <w:lang w:val="bg-BG"/>
        </w:rPr>
        <w:t xml:space="preserve"> </w:t>
      </w:r>
      <w:r w:rsidRPr="00331500">
        <w:rPr>
          <w:rFonts w:ascii="Times New Roman" w:hAnsi="Times New Roman" w:cs="Times New Roman"/>
          <w:bCs/>
          <w:sz w:val="24"/>
          <w:szCs w:val="24"/>
          <w:lang w:val="bg-BG"/>
        </w:rPr>
        <w:t xml:space="preserve">Първото подлежащо на оценка изискване е наличието на наглед неутрално правило, критерий или практика. Казано по друг начин, трябва да е налице някакво изискване, което се прилага към всички. </w:t>
      </w:r>
      <w:r w:rsidR="00D97F62" w:rsidRPr="00331500">
        <w:rPr>
          <w:rFonts w:ascii="Times New Roman" w:hAnsi="Times New Roman" w:cs="Times New Roman"/>
          <w:bCs/>
          <w:sz w:val="24"/>
          <w:szCs w:val="24"/>
          <w:lang w:val="bg-BG"/>
        </w:rPr>
        <w:t xml:space="preserve">В съдебната практика се открояват две съдебни дела </w:t>
      </w:r>
      <w:r w:rsidR="008843F3" w:rsidRPr="00331500">
        <w:rPr>
          <w:rFonts w:ascii="Times New Roman" w:hAnsi="Times New Roman" w:cs="Times New Roman"/>
          <w:bCs/>
          <w:sz w:val="24"/>
          <w:szCs w:val="24"/>
          <w:lang w:val="bg-BG"/>
        </w:rPr>
        <w:t xml:space="preserve">в тази насока, а именно:  </w:t>
      </w:r>
    </w:p>
    <w:p w:rsidR="004A5563" w:rsidRPr="00331500" w:rsidRDefault="008843F3" w:rsidP="00331500">
      <w:pPr>
        <w:spacing w:after="0" w:line="360" w:lineRule="auto"/>
        <w:ind w:firstLine="709"/>
        <w:jc w:val="both"/>
        <w:rPr>
          <w:rFonts w:ascii="Times New Roman" w:hAnsi="Times New Roman" w:cs="Times New Roman"/>
          <w:bCs/>
          <w:sz w:val="24"/>
          <w:szCs w:val="24"/>
          <w:lang w:val="bg-BG"/>
        </w:rPr>
      </w:pPr>
      <w:r w:rsidRPr="00331500">
        <w:rPr>
          <w:rFonts w:ascii="Times New Roman" w:hAnsi="Times New Roman" w:cs="Times New Roman"/>
          <w:bCs/>
          <w:sz w:val="24"/>
          <w:szCs w:val="24"/>
          <w:lang w:val="bg-BG"/>
        </w:rPr>
        <w:t>П</w:t>
      </w:r>
      <w:r w:rsidR="004A5563" w:rsidRPr="00331500">
        <w:rPr>
          <w:rFonts w:ascii="Times New Roman" w:hAnsi="Times New Roman" w:cs="Times New Roman"/>
          <w:bCs/>
          <w:sz w:val="24"/>
          <w:szCs w:val="24"/>
          <w:lang w:val="bg-BG"/>
        </w:rPr>
        <w:t>о делото Schönheit пенсиите на работници на непълно работно време са били изчислени въз основа на различен коефициент в сравнение с пенсиите на работилите на пълно работно време.</w:t>
      </w:r>
      <w:r w:rsidR="004A5563" w:rsidRPr="00331500">
        <w:rPr>
          <w:rStyle w:val="FootnoteReference"/>
          <w:rFonts w:ascii="Times New Roman" w:hAnsi="Times New Roman" w:cs="Times New Roman"/>
          <w:bCs/>
          <w:sz w:val="24"/>
          <w:szCs w:val="24"/>
          <w:lang w:val="bg-BG"/>
        </w:rPr>
        <w:footnoteReference w:id="16"/>
      </w:r>
      <w:r w:rsidR="004A5563" w:rsidRPr="00331500">
        <w:rPr>
          <w:rFonts w:ascii="Times New Roman" w:hAnsi="Times New Roman" w:cs="Times New Roman"/>
          <w:bCs/>
          <w:sz w:val="24"/>
          <w:szCs w:val="24"/>
          <w:lang w:val="bg-BG"/>
        </w:rPr>
        <w:t xml:space="preserve"> Този различен коефициент не се основава на разликите в отработеното време. В резултат на лицата, работили на непълно работно време, са отпускани по</w:t>
      </w:r>
      <w:r w:rsidR="004A5563" w:rsidRPr="00331500">
        <w:rPr>
          <w:rFonts w:ascii="Times New Roman" w:hAnsi="Times New Roman" w:cs="Times New Roman"/>
          <w:bCs/>
          <w:sz w:val="24"/>
          <w:szCs w:val="24"/>
          <w:lang w:val="bg-BG"/>
        </w:rPr>
        <w:noBreakHyphen/>
        <w:t>малки пенсии в сравнение с работилите на пълно работно време, дори при отчитане на разликите в трудовия стаж, практическата последица от което е, че работещите на непълно работно време лица са получавали по</w:t>
      </w:r>
      <w:r w:rsidR="004A5563" w:rsidRPr="00331500">
        <w:rPr>
          <w:rFonts w:ascii="Times New Roman" w:hAnsi="Times New Roman" w:cs="Times New Roman"/>
          <w:bCs/>
          <w:sz w:val="24"/>
          <w:szCs w:val="24"/>
          <w:lang w:val="bg-BG"/>
        </w:rPr>
        <w:noBreakHyphen/>
        <w:t>малки плащания. Разглежданото неутрално правило за изчисляване на пенсиите е прилагано еднакво към всички лица, работили на непълно работно време. Тъй като обаче около 88 % от лицата, които са работили на непълно работно време, са били жени, последицита от правилото са били непропорционално по</w:t>
      </w:r>
      <w:r w:rsidR="004A5563" w:rsidRPr="00331500">
        <w:rPr>
          <w:rFonts w:ascii="Times New Roman" w:hAnsi="Times New Roman" w:cs="Times New Roman"/>
          <w:bCs/>
          <w:sz w:val="24"/>
          <w:szCs w:val="24"/>
          <w:lang w:val="bg-BG"/>
        </w:rPr>
        <w:noBreakHyphen/>
        <w:t>неблагоприятни за жените в сравнение с мъжете.</w:t>
      </w:r>
    </w:p>
    <w:p w:rsidR="008843F3" w:rsidRPr="00331500" w:rsidRDefault="008843F3" w:rsidP="00331500">
      <w:pPr>
        <w:spacing w:after="0" w:line="360" w:lineRule="auto"/>
        <w:ind w:firstLine="709"/>
        <w:jc w:val="both"/>
        <w:rPr>
          <w:rFonts w:ascii="Times New Roman" w:hAnsi="Times New Roman" w:cs="Times New Roman"/>
          <w:bCs/>
          <w:sz w:val="24"/>
          <w:szCs w:val="24"/>
          <w:lang w:val="bg-BG"/>
        </w:rPr>
      </w:pPr>
      <w:r w:rsidRPr="00331500">
        <w:rPr>
          <w:rFonts w:ascii="Times New Roman" w:hAnsi="Times New Roman" w:cs="Times New Roman"/>
          <w:bCs/>
          <w:sz w:val="24"/>
          <w:szCs w:val="24"/>
          <w:lang w:val="bg-BG"/>
        </w:rPr>
        <w:t>П</w:t>
      </w:r>
      <w:r w:rsidR="004A5563" w:rsidRPr="00331500">
        <w:rPr>
          <w:rFonts w:ascii="Times New Roman" w:hAnsi="Times New Roman" w:cs="Times New Roman"/>
          <w:bCs/>
          <w:sz w:val="24"/>
          <w:szCs w:val="24"/>
          <w:lang w:val="bg-BG"/>
        </w:rPr>
        <w:t>о делото D.H. и други срещу Чешката република са провеждани поредица от тестове за оценка на интелигентността и пригодността на ученици с цел да се определи дали те да бъдат преместени от масовите училища в специални училища.</w:t>
      </w:r>
      <w:r w:rsidR="004A5563" w:rsidRPr="00331500">
        <w:rPr>
          <w:rStyle w:val="FootnoteReference"/>
          <w:rFonts w:ascii="Times New Roman" w:hAnsi="Times New Roman" w:cs="Times New Roman"/>
          <w:bCs/>
          <w:sz w:val="24"/>
          <w:szCs w:val="24"/>
          <w:lang w:val="bg-BG"/>
        </w:rPr>
        <w:footnoteReference w:id="17"/>
      </w:r>
      <w:r w:rsidR="004A5563" w:rsidRPr="00331500">
        <w:rPr>
          <w:rFonts w:ascii="Times New Roman" w:hAnsi="Times New Roman" w:cs="Times New Roman"/>
          <w:bCs/>
          <w:sz w:val="24"/>
          <w:szCs w:val="24"/>
          <w:lang w:val="bg-BG"/>
        </w:rPr>
        <w:t xml:space="preserve"> Тези специални училища са предназначени за лица с интелектуални затруднения и други източници на трудности при обучението. Всички ученици, които са били набелязани за настаняване в специални училища, са полагали еднакъв тест. На практика обаче тестът е бил разработен с оглед на възможностите на представителите на мнозинството от населението в Чешката република, в резултат на което учениците от ромски произход са били по</w:t>
      </w:r>
      <w:r w:rsidR="004A5563" w:rsidRPr="00331500">
        <w:rPr>
          <w:rFonts w:ascii="Times New Roman" w:hAnsi="Times New Roman" w:cs="Times New Roman"/>
          <w:bCs/>
          <w:sz w:val="24"/>
          <w:szCs w:val="24"/>
          <w:lang w:val="bg-BG"/>
        </w:rPr>
        <w:noBreakHyphen/>
        <w:t>затруднени и вероятността да постигат по</w:t>
      </w:r>
      <w:r w:rsidR="004A5563" w:rsidRPr="00331500">
        <w:rPr>
          <w:rFonts w:ascii="Times New Roman" w:hAnsi="Times New Roman" w:cs="Times New Roman"/>
          <w:bCs/>
          <w:sz w:val="24"/>
          <w:szCs w:val="24"/>
          <w:lang w:val="bg-BG"/>
        </w:rPr>
        <w:noBreakHyphen/>
        <w:t>лоши резултати е била по</w:t>
      </w:r>
      <w:r w:rsidR="004A5563" w:rsidRPr="00331500">
        <w:rPr>
          <w:rFonts w:ascii="Times New Roman" w:hAnsi="Times New Roman" w:cs="Times New Roman"/>
          <w:bCs/>
          <w:sz w:val="24"/>
          <w:szCs w:val="24"/>
          <w:lang w:val="bg-BG"/>
        </w:rPr>
        <w:noBreakHyphen/>
        <w:t>голяма. В следствие на това между 80 % и 90 % от ромските деца са получавали образованието извън масовата образователна система. ЕСПЧ се е произнесъл, че тази практика представлява непряка дискриминация.</w:t>
      </w:r>
    </w:p>
    <w:p w:rsidR="004A5563" w:rsidRPr="00331500" w:rsidRDefault="004A5563" w:rsidP="00331500">
      <w:pPr>
        <w:spacing w:after="0" w:line="360" w:lineRule="auto"/>
        <w:ind w:firstLine="709"/>
        <w:jc w:val="both"/>
        <w:rPr>
          <w:rFonts w:ascii="Times New Roman" w:hAnsi="Times New Roman" w:cs="Times New Roman"/>
          <w:bCs/>
          <w:sz w:val="24"/>
          <w:szCs w:val="24"/>
          <w:lang w:val="bg-BG"/>
        </w:rPr>
      </w:pPr>
      <w:r w:rsidRPr="00331500">
        <w:rPr>
          <w:rFonts w:ascii="Times New Roman" w:hAnsi="Times New Roman" w:cs="Times New Roman"/>
          <w:bCs/>
          <w:sz w:val="24"/>
          <w:szCs w:val="24"/>
          <w:lang w:val="bg-BG"/>
        </w:rPr>
        <w:lastRenderedPageBreak/>
        <w:t>Съгласно второто подлежащо на оценка изискване наглед неутралното правило, критерий или практика трябва да поставят „групата, ползваща се със защита“ в особено неблагоприятно положение. Именно тук е разликата между непряката и пряката дискриминация – при непряката дискриминация фокусът се премества от различното третиране върху различните последици. Когато оценяват статистически данни, от които е видно, че групата, ползваща се със защита, е непропорционално засегната по неблагоприятен начин в сравнение с друга група в сходно положение, СЕС и ЕСПЧ търсят доказателства, че особено голям дял от неблагоприятно засегнатите лица принадлежат към въпросната „група, ползваща се със защита. Интересни са различни формулировки, използвани от СЕС, които са цитирани в становището на генералния адвокат Léger, изложено по делото Nolte във връзка с дискриминацията, основана на пол:</w:t>
      </w:r>
      <w:r w:rsidRPr="00331500">
        <w:rPr>
          <w:rFonts w:ascii="Times New Roman" w:hAnsi="Times New Roman" w:cs="Times New Roman"/>
          <w:sz w:val="24"/>
          <w:szCs w:val="24"/>
        </w:rPr>
        <w:t xml:space="preserve"> </w:t>
      </w:r>
      <w:r w:rsidRPr="00331500">
        <w:rPr>
          <w:rFonts w:ascii="Times New Roman" w:hAnsi="Times New Roman" w:cs="Times New Roman"/>
          <w:sz w:val="24"/>
          <w:szCs w:val="24"/>
          <w:lang w:val="bg-BG"/>
        </w:rPr>
        <w:t>„</w:t>
      </w:r>
      <w:r w:rsidRPr="00331500">
        <w:rPr>
          <w:rFonts w:ascii="Times New Roman" w:hAnsi="Times New Roman" w:cs="Times New Roman"/>
          <w:bCs/>
          <w:sz w:val="24"/>
          <w:szCs w:val="24"/>
          <w:lang w:val="bg-BG"/>
        </w:rPr>
        <w:t>За да може да се квалифицира като дискриминационна, мярката трябва да засяга</w:t>
      </w:r>
      <w:r w:rsidRPr="00331500">
        <w:rPr>
          <w:rFonts w:ascii="Times New Roman" w:hAnsi="Times New Roman" w:cs="Times New Roman"/>
          <w:bCs/>
          <w:i/>
          <w:sz w:val="24"/>
          <w:szCs w:val="24"/>
          <w:lang w:val="bg-BG"/>
        </w:rPr>
        <w:t xml:space="preserve"> </w:t>
      </w:r>
      <w:r w:rsidRPr="00331500">
        <w:rPr>
          <w:rFonts w:ascii="Times New Roman" w:hAnsi="Times New Roman" w:cs="Times New Roman"/>
          <w:bCs/>
          <w:sz w:val="24"/>
          <w:szCs w:val="24"/>
          <w:lang w:val="bg-BG"/>
        </w:rPr>
        <w:t>„значително по</w:t>
      </w:r>
      <w:r w:rsidRPr="00331500">
        <w:rPr>
          <w:rFonts w:ascii="Times New Roman" w:hAnsi="Times New Roman" w:cs="Times New Roman"/>
          <w:bCs/>
          <w:sz w:val="24"/>
          <w:szCs w:val="24"/>
          <w:lang w:val="bg-BG"/>
        </w:rPr>
        <w:noBreakHyphen/>
        <w:t>голям брой жени, отколкото мъже</w:t>
      </w:r>
      <w:r w:rsidRPr="00331500">
        <w:rPr>
          <w:rFonts w:ascii="Times New Roman" w:hAnsi="Times New Roman" w:cs="Times New Roman"/>
          <w:bCs/>
          <w:i/>
          <w:sz w:val="24"/>
          <w:szCs w:val="24"/>
          <w:lang w:val="bg-BG"/>
        </w:rPr>
        <w:t>“</w:t>
      </w:r>
      <w:r w:rsidRPr="00331500">
        <w:rPr>
          <w:rFonts w:ascii="Times New Roman" w:hAnsi="Times New Roman" w:cs="Times New Roman"/>
          <w:bCs/>
          <w:sz w:val="24"/>
          <w:szCs w:val="24"/>
          <w:lang w:val="bg-BG"/>
        </w:rPr>
        <w:t>[Rinner</w:t>
      </w:r>
      <w:r w:rsidRPr="00331500">
        <w:rPr>
          <w:rFonts w:ascii="Times New Roman" w:hAnsi="Times New Roman" w:cs="Times New Roman"/>
          <w:bCs/>
          <w:sz w:val="24"/>
          <w:szCs w:val="24"/>
          <w:lang w:val="bg-BG"/>
        </w:rPr>
        <w:noBreakHyphen/>
        <w:t>Kühn</w:t>
      </w:r>
      <w:r w:rsidRPr="00331500">
        <w:rPr>
          <w:rStyle w:val="FootnoteReference"/>
          <w:rFonts w:ascii="Times New Roman" w:hAnsi="Times New Roman" w:cs="Times New Roman"/>
          <w:bCs/>
          <w:sz w:val="24"/>
          <w:szCs w:val="24"/>
          <w:lang w:val="bg-BG"/>
        </w:rPr>
        <w:footnoteReference w:id="18"/>
      </w:r>
      <w:r w:rsidRPr="00331500">
        <w:rPr>
          <w:rFonts w:ascii="Times New Roman" w:hAnsi="Times New Roman" w:cs="Times New Roman"/>
          <w:bCs/>
          <w:sz w:val="24"/>
          <w:szCs w:val="24"/>
          <w:lang w:val="bg-BG"/>
        </w:rPr>
        <w:t>] или „значително по</w:t>
      </w:r>
      <w:r w:rsidRPr="00331500">
        <w:rPr>
          <w:rFonts w:ascii="Times New Roman" w:hAnsi="Times New Roman" w:cs="Times New Roman"/>
          <w:bCs/>
          <w:sz w:val="24"/>
          <w:szCs w:val="24"/>
          <w:lang w:val="bg-BG"/>
        </w:rPr>
        <w:noBreakHyphen/>
        <w:t>малък дял мъже, отколкото жени“</w:t>
      </w:r>
      <w:r w:rsidRPr="00331500">
        <w:rPr>
          <w:rFonts w:ascii="Times New Roman" w:hAnsi="Times New Roman" w:cs="Times New Roman"/>
          <w:bCs/>
          <w:i/>
          <w:sz w:val="24"/>
          <w:szCs w:val="24"/>
          <w:lang w:val="bg-BG"/>
        </w:rPr>
        <w:t xml:space="preserve"> </w:t>
      </w:r>
      <w:r w:rsidRPr="00331500">
        <w:rPr>
          <w:rFonts w:ascii="Times New Roman" w:hAnsi="Times New Roman" w:cs="Times New Roman"/>
          <w:bCs/>
          <w:sz w:val="24"/>
          <w:szCs w:val="24"/>
          <w:lang w:val="bg-BG"/>
        </w:rPr>
        <w:t>[Nimz</w:t>
      </w:r>
      <w:r w:rsidRPr="00331500">
        <w:rPr>
          <w:rStyle w:val="FootnoteReference"/>
          <w:rFonts w:ascii="Times New Roman" w:hAnsi="Times New Roman" w:cs="Times New Roman"/>
          <w:bCs/>
          <w:sz w:val="24"/>
          <w:szCs w:val="24"/>
          <w:lang w:val="bg-BG"/>
        </w:rPr>
        <w:footnoteReference w:id="19"/>
      </w:r>
      <w:r w:rsidRPr="00331500">
        <w:rPr>
          <w:rFonts w:ascii="Times New Roman" w:hAnsi="Times New Roman" w:cs="Times New Roman"/>
          <w:bCs/>
          <w:sz w:val="24"/>
          <w:szCs w:val="24"/>
          <w:lang w:val="bg-BG"/>
        </w:rPr>
        <w:t>, Kowalska</w:t>
      </w:r>
      <w:r w:rsidRPr="00331500">
        <w:rPr>
          <w:rStyle w:val="FootnoteReference"/>
          <w:rFonts w:ascii="Times New Roman" w:hAnsi="Times New Roman" w:cs="Times New Roman"/>
          <w:bCs/>
          <w:sz w:val="24"/>
          <w:szCs w:val="24"/>
          <w:lang w:val="bg-BG"/>
        </w:rPr>
        <w:footnoteReference w:id="20"/>
      </w:r>
      <w:r w:rsidRPr="00331500">
        <w:rPr>
          <w:rFonts w:ascii="Times New Roman" w:hAnsi="Times New Roman" w:cs="Times New Roman"/>
          <w:bCs/>
          <w:sz w:val="24"/>
          <w:szCs w:val="24"/>
          <w:lang w:val="bg-BG"/>
        </w:rPr>
        <w:t>] или „значително повече жени, отколкото мъже“</w:t>
      </w:r>
      <w:r w:rsidRPr="00331500">
        <w:rPr>
          <w:rFonts w:ascii="Times New Roman" w:hAnsi="Times New Roman" w:cs="Times New Roman"/>
          <w:bCs/>
          <w:i/>
          <w:sz w:val="24"/>
          <w:szCs w:val="24"/>
          <w:lang w:val="bg-BG"/>
        </w:rPr>
        <w:t xml:space="preserve"> </w:t>
      </w:r>
      <w:r w:rsidRPr="00331500">
        <w:rPr>
          <w:rFonts w:ascii="Times New Roman" w:hAnsi="Times New Roman" w:cs="Times New Roman"/>
          <w:bCs/>
          <w:sz w:val="24"/>
          <w:szCs w:val="24"/>
          <w:lang w:val="bg-BG"/>
        </w:rPr>
        <w:t>[De Weerd, с моминско име Roks, и други</w:t>
      </w:r>
      <w:r w:rsidRPr="00331500">
        <w:rPr>
          <w:rStyle w:val="FootnoteReference"/>
          <w:rFonts w:ascii="Times New Roman" w:hAnsi="Times New Roman" w:cs="Times New Roman"/>
          <w:bCs/>
          <w:sz w:val="24"/>
          <w:szCs w:val="24"/>
          <w:lang w:val="bg-BG"/>
        </w:rPr>
        <w:footnoteReference w:id="21"/>
      </w:r>
      <w:r w:rsidRPr="00331500">
        <w:rPr>
          <w:rFonts w:ascii="Times New Roman" w:hAnsi="Times New Roman" w:cs="Times New Roman"/>
          <w:bCs/>
          <w:sz w:val="24"/>
          <w:szCs w:val="24"/>
          <w:lang w:val="bg-BG"/>
        </w:rPr>
        <w:t>].“</w:t>
      </w:r>
      <w:r w:rsidRPr="00331500">
        <w:rPr>
          <w:rStyle w:val="FootnoteReference"/>
          <w:rFonts w:ascii="Times New Roman" w:hAnsi="Times New Roman" w:cs="Times New Roman"/>
          <w:bCs/>
          <w:i/>
          <w:sz w:val="24"/>
          <w:szCs w:val="24"/>
          <w:lang w:val="bg-BG"/>
        </w:rPr>
        <w:footnoteReference w:id="22"/>
      </w:r>
    </w:p>
    <w:p w:rsidR="00F476E7" w:rsidRPr="00331500" w:rsidRDefault="004A5563" w:rsidP="00331500">
      <w:pPr>
        <w:spacing w:after="0" w:line="360" w:lineRule="auto"/>
        <w:ind w:firstLine="708"/>
        <w:jc w:val="both"/>
        <w:rPr>
          <w:rFonts w:ascii="Times New Roman" w:hAnsi="Times New Roman" w:cs="Times New Roman"/>
          <w:bCs/>
          <w:sz w:val="24"/>
          <w:szCs w:val="24"/>
          <w:lang w:val="bg-BG"/>
        </w:rPr>
      </w:pPr>
      <w:r w:rsidRPr="00331500">
        <w:rPr>
          <w:rFonts w:ascii="Times New Roman" w:hAnsi="Times New Roman" w:cs="Times New Roman"/>
          <w:bCs/>
          <w:sz w:val="24"/>
          <w:szCs w:val="24"/>
          <w:lang w:val="bg-BG"/>
        </w:rPr>
        <w:t>Както и по отношение на пряката дискриминация, съдът трябва да идентифицира случай за сравнение, за да определи дали последицита от конкретното правило, критерий или практика са значително по</w:t>
      </w:r>
      <w:r w:rsidRPr="00331500">
        <w:rPr>
          <w:rFonts w:ascii="Times New Roman" w:hAnsi="Times New Roman" w:cs="Times New Roman"/>
          <w:bCs/>
          <w:sz w:val="24"/>
          <w:szCs w:val="24"/>
          <w:lang w:val="bg-BG"/>
        </w:rPr>
        <w:noBreakHyphen/>
        <w:t>неблагоприятни от претърпените от други лица в сходно положение. В това отношение подходът на съдилищата не се различава от възприетия във връзка с пряката дискриминация.</w:t>
      </w:r>
    </w:p>
    <w:p w:rsidR="00F476E7" w:rsidRPr="00331500" w:rsidRDefault="00F476E7" w:rsidP="00331500">
      <w:pPr>
        <w:spacing w:after="0" w:line="360" w:lineRule="auto"/>
        <w:ind w:firstLine="708"/>
        <w:jc w:val="both"/>
        <w:rPr>
          <w:rFonts w:ascii="Times New Roman" w:hAnsi="Times New Roman" w:cs="Times New Roman"/>
          <w:bCs/>
          <w:sz w:val="24"/>
          <w:szCs w:val="24"/>
          <w:lang w:val="bg-BG"/>
        </w:rPr>
      </w:pPr>
    </w:p>
    <w:p w:rsidR="00331500" w:rsidRDefault="00331500" w:rsidP="00331500">
      <w:pPr>
        <w:spacing w:after="0" w:line="360" w:lineRule="auto"/>
        <w:ind w:firstLine="708"/>
        <w:jc w:val="both"/>
        <w:rPr>
          <w:rFonts w:ascii="Times New Roman" w:hAnsi="Times New Roman" w:cs="Times New Roman"/>
          <w:b/>
          <w:bCs/>
          <w:sz w:val="24"/>
          <w:szCs w:val="24"/>
          <w:lang w:val="bg-BG"/>
        </w:rPr>
      </w:pPr>
    </w:p>
    <w:p w:rsidR="00331500" w:rsidRDefault="00331500" w:rsidP="00331500">
      <w:pPr>
        <w:spacing w:after="0" w:line="360" w:lineRule="auto"/>
        <w:ind w:firstLine="708"/>
        <w:jc w:val="both"/>
        <w:rPr>
          <w:rFonts w:ascii="Times New Roman" w:hAnsi="Times New Roman" w:cs="Times New Roman"/>
          <w:b/>
          <w:bCs/>
          <w:sz w:val="24"/>
          <w:szCs w:val="24"/>
          <w:lang w:val="bg-BG"/>
        </w:rPr>
      </w:pPr>
    </w:p>
    <w:p w:rsidR="00331500" w:rsidRDefault="00331500" w:rsidP="00331500">
      <w:pPr>
        <w:spacing w:after="0" w:line="360" w:lineRule="auto"/>
        <w:ind w:firstLine="708"/>
        <w:jc w:val="both"/>
        <w:rPr>
          <w:rFonts w:ascii="Times New Roman" w:hAnsi="Times New Roman" w:cs="Times New Roman"/>
          <w:b/>
          <w:bCs/>
          <w:sz w:val="24"/>
          <w:szCs w:val="24"/>
          <w:lang w:val="bg-BG"/>
        </w:rPr>
      </w:pPr>
    </w:p>
    <w:p w:rsidR="00331500" w:rsidRDefault="00331500" w:rsidP="00331500">
      <w:pPr>
        <w:spacing w:after="0" w:line="360" w:lineRule="auto"/>
        <w:ind w:firstLine="708"/>
        <w:jc w:val="both"/>
        <w:rPr>
          <w:rFonts w:ascii="Times New Roman" w:hAnsi="Times New Roman" w:cs="Times New Roman"/>
          <w:b/>
          <w:bCs/>
          <w:sz w:val="24"/>
          <w:szCs w:val="24"/>
          <w:lang w:val="bg-BG"/>
        </w:rPr>
      </w:pPr>
    </w:p>
    <w:p w:rsidR="00DA530A" w:rsidRPr="00331500" w:rsidRDefault="00331500" w:rsidP="00331500">
      <w:pPr>
        <w:spacing w:after="0" w:line="360" w:lineRule="auto"/>
        <w:ind w:firstLine="708"/>
        <w:jc w:val="both"/>
        <w:rPr>
          <w:rFonts w:ascii="Times New Roman" w:hAnsi="Times New Roman" w:cs="Times New Roman"/>
          <w:b/>
          <w:bCs/>
          <w:sz w:val="24"/>
          <w:szCs w:val="24"/>
          <w:lang w:val="bg-BG"/>
        </w:rPr>
      </w:pPr>
      <w:r>
        <w:rPr>
          <w:rFonts w:ascii="Times New Roman" w:hAnsi="Times New Roman" w:cs="Times New Roman"/>
          <w:b/>
          <w:bCs/>
          <w:sz w:val="24"/>
          <w:szCs w:val="24"/>
          <w:lang w:val="bg-BG"/>
        </w:rPr>
        <w:lastRenderedPageBreak/>
        <w:t>Заключение</w:t>
      </w:r>
    </w:p>
    <w:p w:rsidR="00DA530A" w:rsidRPr="00331500" w:rsidRDefault="00DA530A" w:rsidP="00331500">
      <w:pPr>
        <w:spacing w:after="0" w:line="360" w:lineRule="auto"/>
        <w:ind w:firstLine="709"/>
        <w:jc w:val="both"/>
        <w:rPr>
          <w:rFonts w:ascii="Times New Roman" w:hAnsi="Times New Roman" w:cs="Times New Roman"/>
          <w:bCs/>
          <w:sz w:val="24"/>
          <w:szCs w:val="24"/>
          <w:lang w:val="bg-BG"/>
        </w:rPr>
      </w:pPr>
      <w:r w:rsidRPr="00331500">
        <w:rPr>
          <w:rFonts w:ascii="Times New Roman" w:hAnsi="Times New Roman" w:cs="Times New Roman"/>
          <w:bCs/>
          <w:sz w:val="24"/>
          <w:szCs w:val="24"/>
        </w:rPr>
        <w:t xml:space="preserve">Съдът на Европейския съюз и националните съдилища са възприели понятието за дискриминация </w:t>
      </w:r>
      <w:r w:rsidRPr="00331500">
        <w:rPr>
          <w:rFonts w:ascii="Times New Roman" w:hAnsi="Times New Roman" w:cs="Times New Roman"/>
          <w:bCs/>
          <w:sz w:val="24"/>
          <w:szCs w:val="24"/>
          <w:lang w:val="bg-BG"/>
        </w:rPr>
        <w:t>като</w:t>
      </w:r>
      <w:r w:rsidRPr="00331500">
        <w:rPr>
          <w:rFonts w:ascii="Times New Roman" w:hAnsi="Times New Roman" w:cs="Times New Roman"/>
          <w:bCs/>
          <w:sz w:val="24"/>
          <w:szCs w:val="24"/>
        </w:rPr>
        <w:t xml:space="preserve"> връзка, отнасящ</w:t>
      </w:r>
      <w:r w:rsidRPr="00331500">
        <w:rPr>
          <w:rFonts w:ascii="Times New Roman" w:hAnsi="Times New Roman" w:cs="Times New Roman"/>
          <w:bCs/>
          <w:sz w:val="24"/>
          <w:szCs w:val="24"/>
          <w:lang w:val="bg-BG"/>
        </w:rPr>
        <w:t>а</w:t>
      </w:r>
      <w:r w:rsidRPr="00331500">
        <w:rPr>
          <w:rFonts w:ascii="Times New Roman" w:hAnsi="Times New Roman" w:cs="Times New Roman"/>
          <w:bCs/>
          <w:sz w:val="24"/>
          <w:szCs w:val="24"/>
        </w:rPr>
        <w:t xml:space="preserve"> се до ситуации на по</w:t>
      </w:r>
      <w:r w:rsidRPr="00331500">
        <w:rPr>
          <w:rFonts w:ascii="Times New Roman" w:eastAsia="MS Mincho" w:hAnsi="Times New Roman" w:cs="Times New Roman"/>
          <w:bCs/>
          <w:sz w:val="24"/>
          <w:szCs w:val="24"/>
        </w:rPr>
        <w:noBreakHyphen/>
      </w:r>
      <w:r w:rsidRPr="00331500">
        <w:rPr>
          <w:rFonts w:ascii="Times New Roman" w:hAnsi="Times New Roman" w:cs="Times New Roman"/>
          <w:bCs/>
          <w:sz w:val="24"/>
          <w:szCs w:val="24"/>
        </w:rPr>
        <w:t>неблагоприятно третиране на физическо лице поради връзката му с друго физическо лице, което притежава „характеристика, предмет на защита“.</w:t>
      </w:r>
      <w:r w:rsidRPr="00331500">
        <w:rPr>
          <w:rFonts w:ascii="Times New Roman" w:hAnsi="Times New Roman" w:cs="Times New Roman"/>
          <w:bCs/>
          <w:sz w:val="24"/>
          <w:szCs w:val="24"/>
          <w:lang w:val="bg-BG"/>
        </w:rPr>
        <w:t xml:space="preserve"> </w:t>
      </w:r>
      <w:r w:rsidRPr="00331500">
        <w:rPr>
          <w:rFonts w:ascii="Times New Roman" w:hAnsi="Times New Roman" w:cs="Times New Roman"/>
          <w:bCs/>
          <w:sz w:val="24"/>
          <w:szCs w:val="24"/>
        </w:rPr>
        <w:t>Непряката дискриминация се характеризира с разграничаващо въздействие или последици: трябва да се докаже, че в резултат на определено решение дадена група е поставена в неблагоприятно положение, като се направи съпоставка с група за сравнение.</w:t>
      </w:r>
      <w:r w:rsidRPr="00331500">
        <w:rPr>
          <w:rFonts w:ascii="Times New Roman" w:hAnsi="Times New Roman" w:cs="Times New Roman"/>
          <w:bCs/>
          <w:sz w:val="24"/>
          <w:szCs w:val="24"/>
          <w:lang w:val="bg-BG"/>
        </w:rPr>
        <w:t xml:space="preserve"> </w:t>
      </w:r>
      <w:r w:rsidRPr="00331500">
        <w:rPr>
          <w:rFonts w:ascii="Times New Roman" w:hAnsi="Times New Roman" w:cs="Times New Roman"/>
          <w:bCs/>
          <w:sz w:val="24"/>
          <w:szCs w:val="24"/>
        </w:rPr>
        <w:t>За да докаже дадено физическо лице наличие на непряка дискриминация, то трябва да приведе доказателства, че лица, които имат обща характеристика, предмет на защита, търпят като група разграничаващи последици или въздействие, в сравнение с лицата, които не притежават тази характеристика.</w:t>
      </w:r>
      <w:r w:rsidRPr="00331500">
        <w:rPr>
          <w:rFonts w:ascii="Times New Roman" w:hAnsi="Times New Roman" w:cs="Times New Roman"/>
          <w:bCs/>
          <w:sz w:val="24"/>
          <w:szCs w:val="24"/>
          <w:lang w:val="bg-BG"/>
        </w:rPr>
        <w:t xml:space="preserve"> </w:t>
      </w:r>
      <w:r w:rsidRPr="00331500">
        <w:rPr>
          <w:rFonts w:ascii="Times New Roman" w:hAnsi="Times New Roman" w:cs="Times New Roman"/>
          <w:bCs/>
          <w:sz w:val="24"/>
          <w:szCs w:val="24"/>
        </w:rPr>
        <w:t>За да гарантират, че всички се ползват в равна степен от правата си, правителствата, работодателите и доставчиците на услуги може да се наложи да предприемат специални или специфични мерки, за да съобразят прилаганите от тях правила и практики с особеностите на лицата с различни характеристики.</w:t>
      </w:r>
    </w:p>
    <w:p w:rsidR="00F476E7" w:rsidRPr="00331500" w:rsidRDefault="00DA530A" w:rsidP="00331500">
      <w:pPr>
        <w:spacing w:after="0" w:line="360" w:lineRule="auto"/>
        <w:ind w:firstLine="709"/>
        <w:jc w:val="both"/>
        <w:rPr>
          <w:rFonts w:ascii="Times New Roman" w:hAnsi="Times New Roman" w:cs="Times New Roman"/>
          <w:color w:val="000000"/>
          <w:sz w:val="24"/>
          <w:szCs w:val="24"/>
          <w:lang w:val="bg-BG"/>
        </w:rPr>
      </w:pPr>
      <w:r w:rsidRPr="00331500">
        <w:rPr>
          <w:rFonts w:ascii="Times New Roman" w:hAnsi="Times New Roman" w:cs="Times New Roman"/>
          <w:color w:val="000000"/>
          <w:sz w:val="24"/>
          <w:szCs w:val="24"/>
        </w:rPr>
        <w:t>Проследявайки, нормативната уредба, свързана с антидискриминационното законодателство  и богатата практика на Съда на Европейския съюз, се установява, че цялостната стратегия на ЕС, насочена към ограничаване на дискриминацията обаче не може да бъде постигната само въз основа на нормативния и съдебния инструментариум, без посредничеството на правното съзнание, което е свързващото звено между правото и поведението. Особено голямо е значението на антидискриминационното законодателство в контекста на Договора от Лисабон и обявяването на антидискриминационната политика на ЕС за основен приоритет на съюза, намиращ специфично отражение в националните стратегии на страните-членки, в т.ч. и Република България.</w:t>
      </w:r>
    </w:p>
    <w:p w:rsidR="00F476E7" w:rsidRPr="00331500" w:rsidRDefault="00F476E7" w:rsidP="00331500">
      <w:pPr>
        <w:spacing w:after="0" w:line="360" w:lineRule="auto"/>
        <w:ind w:firstLine="709"/>
        <w:jc w:val="both"/>
        <w:rPr>
          <w:rFonts w:ascii="Times New Roman" w:hAnsi="Times New Roman" w:cs="Times New Roman"/>
          <w:color w:val="000000"/>
          <w:sz w:val="24"/>
          <w:szCs w:val="24"/>
          <w:lang w:val="bg-BG"/>
        </w:rPr>
      </w:pPr>
    </w:p>
    <w:p w:rsidR="00A53897" w:rsidRPr="00331500" w:rsidRDefault="00A53897" w:rsidP="00331500">
      <w:pPr>
        <w:spacing w:after="0" w:line="360" w:lineRule="auto"/>
        <w:ind w:firstLine="708"/>
        <w:jc w:val="both"/>
        <w:rPr>
          <w:rFonts w:ascii="Times New Roman" w:hAnsi="Times New Roman" w:cs="Times New Roman"/>
          <w:bCs/>
          <w:sz w:val="24"/>
          <w:szCs w:val="24"/>
        </w:rPr>
      </w:pPr>
    </w:p>
    <w:p w:rsidR="00A53897" w:rsidRPr="00331500" w:rsidRDefault="00A53897" w:rsidP="00331500">
      <w:pPr>
        <w:spacing w:after="0" w:line="360" w:lineRule="auto"/>
        <w:ind w:firstLine="708"/>
        <w:jc w:val="both"/>
        <w:rPr>
          <w:rFonts w:ascii="Times New Roman" w:hAnsi="Times New Roman" w:cs="Times New Roman"/>
          <w:bCs/>
          <w:sz w:val="24"/>
          <w:szCs w:val="24"/>
        </w:rPr>
      </w:pPr>
    </w:p>
    <w:p w:rsidR="00A53897" w:rsidRPr="00331500" w:rsidRDefault="00A53897" w:rsidP="00331500">
      <w:pPr>
        <w:spacing w:after="0" w:line="360" w:lineRule="auto"/>
        <w:ind w:firstLine="708"/>
        <w:jc w:val="both"/>
        <w:rPr>
          <w:rFonts w:ascii="Times New Roman" w:hAnsi="Times New Roman" w:cs="Times New Roman"/>
          <w:bCs/>
          <w:sz w:val="24"/>
          <w:szCs w:val="24"/>
        </w:rPr>
      </w:pPr>
    </w:p>
    <w:p w:rsidR="00D504AA" w:rsidRPr="00331500" w:rsidRDefault="00D504AA" w:rsidP="00331500">
      <w:pPr>
        <w:spacing w:after="0" w:line="360" w:lineRule="auto"/>
        <w:rPr>
          <w:rFonts w:ascii="Times New Roman" w:hAnsi="Times New Roman" w:cs="Times New Roman"/>
          <w:sz w:val="24"/>
          <w:szCs w:val="24"/>
        </w:rPr>
      </w:pPr>
    </w:p>
    <w:sectPr w:rsidR="00D504AA" w:rsidRPr="0033150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751" w:rsidRDefault="00E07751" w:rsidP="00805FA9">
      <w:pPr>
        <w:spacing w:after="0" w:line="240" w:lineRule="auto"/>
      </w:pPr>
      <w:r>
        <w:separator/>
      </w:r>
    </w:p>
  </w:endnote>
  <w:endnote w:type="continuationSeparator" w:id="0">
    <w:p w:rsidR="00E07751" w:rsidRDefault="00E07751" w:rsidP="00805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A87" w:rsidRDefault="009C0A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5695599"/>
      <w:docPartObj>
        <w:docPartGallery w:val="Page Numbers (Bottom of Page)"/>
        <w:docPartUnique/>
      </w:docPartObj>
    </w:sdtPr>
    <w:sdtEndPr>
      <w:rPr>
        <w:noProof/>
      </w:rPr>
    </w:sdtEndPr>
    <w:sdtContent>
      <w:p w:rsidR="007A54D4" w:rsidRDefault="007A54D4">
        <w:pPr>
          <w:pStyle w:val="Footer"/>
          <w:jc w:val="right"/>
        </w:pPr>
        <w:r w:rsidRPr="007A54D4">
          <w:rPr>
            <w:rFonts w:ascii="Times New Roman" w:hAnsi="Times New Roman" w:cs="Times New Roman"/>
            <w:sz w:val="20"/>
            <w:szCs w:val="20"/>
          </w:rPr>
          <w:fldChar w:fldCharType="begin"/>
        </w:r>
        <w:r w:rsidRPr="007A54D4">
          <w:rPr>
            <w:rFonts w:ascii="Times New Roman" w:hAnsi="Times New Roman" w:cs="Times New Roman"/>
            <w:sz w:val="20"/>
            <w:szCs w:val="20"/>
          </w:rPr>
          <w:instrText xml:space="preserve"> PAGE   \* MERGEFORMAT </w:instrText>
        </w:r>
        <w:r w:rsidRPr="007A54D4">
          <w:rPr>
            <w:rFonts w:ascii="Times New Roman" w:hAnsi="Times New Roman" w:cs="Times New Roman"/>
            <w:sz w:val="20"/>
            <w:szCs w:val="20"/>
          </w:rPr>
          <w:fldChar w:fldCharType="separate"/>
        </w:r>
        <w:r w:rsidR="009C0A87">
          <w:rPr>
            <w:rFonts w:ascii="Times New Roman" w:hAnsi="Times New Roman" w:cs="Times New Roman"/>
            <w:noProof/>
            <w:sz w:val="20"/>
            <w:szCs w:val="20"/>
          </w:rPr>
          <w:t>13</w:t>
        </w:r>
        <w:r w:rsidRPr="007A54D4">
          <w:rPr>
            <w:rFonts w:ascii="Times New Roman" w:hAnsi="Times New Roman" w:cs="Times New Roman"/>
            <w:noProof/>
            <w:sz w:val="20"/>
            <w:szCs w:val="20"/>
          </w:rPr>
          <w:fldChar w:fldCharType="end"/>
        </w:r>
      </w:p>
    </w:sdtContent>
  </w:sdt>
  <w:p w:rsidR="007A54D4" w:rsidRPr="007A54D4" w:rsidRDefault="007A54D4">
    <w:pPr>
      <w:pStyle w:val="Footer"/>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A87" w:rsidRDefault="009C0A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751" w:rsidRDefault="00E07751" w:rsidP="00805FA9">
      <w:pPr>
        <w:spacing w:after="0" w:line="240" w:lineRule="auto"/>
      </w:pPr>
      <w:r>
        <w:separator/>
      </w:r>
    </w:p>
  </w:footnote>
  <w:footnote w:type="continuationSeparator" w:id="0">
    <w:p w:rsidR="00E07751" w:rsidRDefault="00E07751" w:rsidP="00805FA9">
      <w:pPr>
        <w:spacing w:after="0" w:line="240" w:lineRule="auto"/>
      </w:pPr>
      <w:r>
        <w:continuationSeparator/>
      </w:r>
    </w:p>
  </w:footnote>
  <w:footnote w:id="1">
    <w:p w:rsidR="006F0A41" w:rsidRPr="00331500" w:rsidRDefault="006F0A41" w:rsidP="00331500">
      <w:pPr>
        <w:spacing w:after="0"/>
        <w:jc w:val="both"/>
        <w:rPr>
          <w:rFonts w:ascii="Times New Roman" w:hAnsi="Times New Roman" w:cs="Times New Roman"/>
          <w:b/>
          <w:bCs/>
          <w:i/>
          <w:sz w:val="20"/>
          <w:szCs w:val="20"/>
          <w:lang w:val="bg-BG"/>
        </w:rPr>
      </w:pPr>
      <w:r>
        <w:rPr>
          <w:rStyle w:val="FootnoteReference"/>
        </w:rPr>
        <w:footnoteRef/>
      </w:r>
      <w:r>
        <w:t xml:space="preserve"> </w:t>
      </w:r>
      <w:r w:rsidRPr="00331500">
        <w:rPr>
          <w:rFonts w:ascii="Times New Roman" w:hAnsi="Times New Roman" w:cs="Times New Roman"/>
          <w:bCs/>
          <w:sz w:val="20"/>
          <w:szCs w:val="20"/>
          <w:lang w:val="bg-BG"/>
        </w:rPr>
        <w:t>Редовен докторант по „Международно право и междунар</w:t>
      </w:r>
      <w:r w:rsidR="00331500">
        <w:rPr>
          <w:rFonts w:ascii="Times New Roman" w:hAnsi="Times New Roman" w:cs="Times New Roman"/>
          <w:bCs/>
          <w:sz w:val="20"/>
          <w:szCs w:val="20"/>
          <w:lang w:val="bg-BG"/>
        </w:rPr>
        <w:t>одни отношения“ в</w:t>
      </w:r>
      <w:r w:rsidRPr="00331500">
        <w:rPr>
          <w:rFonts w:ascii="Times New Roman" w:hAnsi="Times New Roman" w:cs="Times New Roman"/>
          <w:bCs/>
          <w:sz w:val="20"/>
          <w:szCs w:val="20"/>
          <w:lang w:val="bg-BG"/>
        </w:rPr>
        <w:t xml:space="preserve"> Юридически факултет на ПУ „Паисий Хилендарски“</w:t>
      </w:r>
      <w:r w:rsidR="00331500">
        <w:rPr>
          <w:rFonts w:ascii="Times New Roman" w:hAnsi="Times New Roman" w:cs="Times New Roman"/>
          <w:bCs/>
          <w:sz w:val="20"/>
          <w:szCs w:val="20"/>
          <w:lang w:val="bg-BG"/>
        </w:rPr>
        <w:t>.</w:t>
      </w:r>
    </w:p>
  </w:footnote>
  <w:footnote w:id="2">
    <w:p w:rsidR="004A5563" w:rsidRDefault="004A5563" w:rsidP="00D92809">
      <w:pPr>
        <w:pStyle w:val="FootnoteText"/>
        <w:jc w:val="both"/>
      </w:pPr>
      <w:r>
        <w:rPr>
          <w:rStyle w:val="FootnoteReference"/>
        </w:rPr>
        <w:footnoteRef/>
      </w:r>
      <w:r>
        <w:t xml:space="preserve"> Решение на ЕСПЧ от 6 януари 2005 г. по дело Hoogendijk срещу Нидерландия (dec.) (жалба № 58641/00).</w:t>
      </w:r>
    </w:p>
  </w:footnote>
  <w:footnote w:id="3">
    <w:p w:rsidR="004A5563" w:rsidRDefault="004A5563" w:rsidP="00D92809">
      <w:pPr>
        <w:pStyle w:val="FootnoteText"/>
        <w:jc w:val="both"/>
      </w:pPr>
      <w:r>
        <w:rPr>
          <w:rStyle w:val="FootnoteReference"/>
        </w:rPr>
        <w:footnoteRef/>
      </w:r>
      <w:r>
        <w:t xml:space="preserve"> Аналогична уредба: Директива за равно третиране в областта на заетостта, член 2, параграф 2, буква a), Директива за равенство на половете (преработена), член 2, параграф 1, буква a), Директива за достъп на мъже и жени до стоки и услуги, член 2, буква a).</w:t>
      </w:r>
    </w:p>
  </w:footnote>
  <w:footnote w:id="4">
    <w:p w:rsidR="004A5563" w:rsidRDefault="004A5563" w:rsidP="00D92809">
      <w:pPr>
        <w:pStyle w:val="FootnoteText"/>
        <w:jc w:val="both"/>
      </w:pPr>
      <w:r>
        <w:rPr>
          <w:rStyle w:val="FootnoteReference"/>
        </w:rPr>
        <w:footnoteRef/>
      </w:r>
      <w:r>
        <w:t xml:space="preserve"> ЕСПЧ, решение от 16 март 2010 г. по дело Carson и други срещу Обединеното кралство (жалба № 42184/05), точка 61. Също така: ЕСПЧ, решение от 13 ноември 2007 г. по дело D.H. и други срещу Чешката република (жалба № 57325/00), точка 175 н ЕСПЧ, решение от 29 април 2008 г. по дело Burden срещу Обединеното кралство (жалба № 13378/05), точка 60.</w:t>
      </w:r>
    </w:p>
  </w:footnote>
  <w:footnote w:id="5">
    <w:p w:rsidR="004A5563" w:rsidRDefault="004A5563" w:rsidP="004A5563">
      <w:pPr>
        <w:pStyle w:val="FootnoteText"/>
      </w:pPr>
      <w:r>
        <w:rPr>
          <w:rStyle w:val="FootnoteReference"/>
        </w:rPr>
        <w:footnoteRef/>
      </w:r>
      <w:r>
        <w:t xml:space="preserve"> ЕСПЧ, решение от 18 февруари 1991 г. по дело Moustaquim срещу Белгия (жалба № 12313/86).</w:t>
      </w:r>
    </w:p>
  </w:footnote>
  <w:footnote w:id="6">
    <w:p w:rsidR="004A5563" w:rsidRDefault="004A5563" w:rsidP="004A5563">
      <w:pPr>
        <w:pStyle w:val="FootnoteText"/>
        <w:jc w:val="both"/>
      </w:pPr>
      <w:r>
        <w:rPr>
          <w:rStyle w:val="FootnoteReference"/>
        </w:rPr>
        <w:footnoteRef/>
      </w:r>
      <w:r>
        <w:t xml:space="preserve"> СЕС, решение от 13 януари 2004 г. по дело Allonby срещу Accrington &amp; Rossendale College и други, C-256/01, Сборник 2004 г., стр. I-873</w:t>
      </w:r>
    </w:p>
  </w:footnote>
  <w:footnote w:id="7">
    <w:p w:rsidR="004A5563" w:rsidRDefault="004A5563" w:rsidP="004A5563">
      <w:pPr>
        <w:pStyle w:val="FootnoteText"/>
        <w:jc w:val="both"/>
      </w:pPr>
      <w:r>
        <w:rPr>
          <w:rStyle w:val="FootnoteReference"/>
        </w:rPr>
        <w:footnoteRef/>
      </w:r>
      <w:r>
        <w:t xml:space="preserve"> ЕСПЧ, решение от 27 ноември 2007 г. по дело Luczak срещу Полша (жалба № 77782/01); ЕСПЧ, решение от 16 септември 1996 г. по дело Gaygusuz срещу Австрия (жалба № 17371/90).</w:t>
      </w:r>
    </w:p>
  </w:footnote>
  <w:footnote w:id="8">
    <w:p w:rsidR="004A5563" w:rsidRDefault="004A5563" w:rsidP="004A5563">
      <w:pPr>
        <w:pStyle w:val="FootnoteText"/>
        <w:jc w:val="both"/>
      </w:pPr>
      <w:r>
        <w:rPr>
          <w:rStyle w:val="FootnoteReference"/>
        </w:rPr>
        <w:footnoteRef/>
      </w:r>
      <w:r>
        <w:t xml:space="preserve"> СЕО, решение от 27 април 2006 г. по дело Richards срещу Secretary of State for Work and Pensions, C-423/04, Сборник 2006 г., стр. I-3585</w:t>
      </w:r>
    </w:p>
  </w:footnote>
  <w:footnote w:id="9">
    <w:p w:rsidR="004A5563" w:rsidRDefault="004A5563" w:rsidP="004A5563">
      <w:pPr>
        <w:pStyle w:val="FootnoteText"/>
        <w:jc w:val="both"/>
      </w:pPr>
      <w:r>
        <w:rPr>
          <w:rStyle w:val="FootnoteReference"/>
        </w:rPr>
        <w:footnoteRef/>
      </w:r>
      <w:r>
        <w:t xml:space="preserve"> ЕСПЧ, решение от 29 април 2008 г. по дело Burden срещу Обединеното кралство (жалба № 13378/05).</w:t>
      </w:r>
    </w:p>
  </w:footnote>
  <w:footnote w:id="10">
    <w:p w:rsidR="004A5563" w:rsidRDefault="004A5563" w:rsidP="004A5563">
      <w:pPr>
        <w:pStyle w:val="FootnoteText"/>
        <w:jc w:val="both"/>
      </w:pPr>
      <w:r>
        <w:rPr>
          <w:rStyle w:val="FootnoteReference"/>
        </w:rPr>
        <w:footnoteRef/>
      </w:r>
      <w:r>
        <w:t xml:space="preserve"> ЕСПЧ, решение от 16 март 2010 г. по дело Carson и други срещу Обединеното кралство (жалба № 42184/05).</w:t>
      </w:r>
    </w:p>
  </w:footnote>
  <w:footnote w:id="11">
    <w:p w:rsidR="004A5563" w:rsidRDefault="004A5563" w:rsidP="004A5563">
      <w:pPr>
        <w:pStyle w:val="FootnoteText"/>
      </w:pPr>
      <w:r>
        <w:rPr>
          <w:rStyle w:val="FootnoteReference"/>
        </w:rPr>
        <w:footnoteRef/>
      </w:r>
      <w:r>
        <w:t xml:space="preserve"> СЕС, решение от 8 ноември 1990 г. по дело Dekker срещу Stichting Vormingscentrum voor Jong Volwassenen (VJV</w:t>
      </w:r>
      <w:r>
        <w:rPr>
          <w:rFonts w:ascii="Cambria Math" w:hAnsi="Cambria Math" w:cs="Cambria Math"/>
        </w:rPr>
        <w:noBreakHyphen/>
      </w:r>
      <w:r>
        <w:t xml:space="preserve">Centrum) Plus, C-177/88, </w:t>
      </w:r>
      <w:r>
        <w:rPr>
          <w:rFonts w:ascii="Calibri" w:hAnsi="Calibri" w:cs="Calibri"/>
        </w:rPr>
        <w:t>Сборни</w:t>
      </w:r>
      <w:r>
        <w:t>к 1990 г., стр. I-3941. Вж. също така СЕО, решение от 14 юли 1994г. по дело Webb срещу EMO Air Cargo (UK) Ltd, C-32/93, Сборник 1994 г., стр. I-3567</w:t>
      </w:r>
    </w:p>
  </w:footnote>
  <w:footnote w:id="12">
    <w:p w:rsidR="004A5563" w:rsidRDefault="004A5563" w:rsidP="004A5563">
      <w:pPr>
        <w:pStyle w:val="FootnoteText"/>
      </w:pPr>
      <w:r>
        <w:rPr>
          <w:rStyle w:val="FootnoteReference"/>
        </w:rPr>
        <w:footnoteRef/>
      </w:r>
      <w:r>
        <w:t xml:space="preserve"> ЕСПЧ, решение от 22 юни 2004 г. по дело Aziz срещу Кипър (жалба № 69949/01).</w:t>
      </w:r>
    </w:p>
  </w:footnote>
  <w:footnote w:id="13">
    <w:p w:rsidR="004A5563" w:rsidRDefault="004A5563" w:rsidP="004A5563">
      <w:pPr>
        <w:pStyle w:val="FootnoteText"/>
        <w:jc w:val="both"/>
      </w:pPr>
      <w:r>
        <w:rPr>
          <w:rStyle w:val="FootnoteReference"/>
        </w:rPr>
        <w:footnoteRef/>
      </w:r>
      <w:r>
        <w:t xml:space="preserve"> СЕС, решение от 17 юли 2008 г. по дело Coleman срещу Attridge Law и Steve Law, C-303/06, Сборник 2008г., стр. ECR I-5603.</w:t>
      </w:r>
    </w:p>
  </w:footnote>
  <w:footnote w:id="14">
    <w:p w:rsidR="004A5563" w:rsidRDefault="004A5563" w:rsidP="004A5563">
      <w:pPr>
        <w:pStyle w:val="FootnoteText"/>
        <w:jc w:val="both"/>
      </w:pPr>
      <w:r>
        <w:rPr>
          <w:rStyle w:val="FootnoteReference"/>
        </w:rPr>
        <w:footnoteRef/>
      </w:r>
      <w:r>
        <w:t xml:space="preserve"> Аналогична уредба: Директива за равно третиране в областта на заетостта, член 2, параграф 2, буква б), Директива за равенство на половете (преработена), член 2, параграф 1, буква б), Директива за достъп на мъже и жени до стоки и услуги, член 2, буква б).</w:t>
      </w:r>
    </w:p>
  </w:footnote>
  <w:footnote w:id="15">
    <w:p w:rsidR="004A5563" w:rsidRDefault="004A5563" w:rsidP="004A5563">
      <w:pPr>
        <w:pStyle w:val="FootnoteText"/>
        <w:jc w:val="both"/>
      </w:pPr>
      <w:r>
        <w:rPr>
          <w:rStyle w:val="FootnoteReference"/>
        </w:rPr>
        <w:footnoteRef/>
      </w:r>
      <w:r>
        <w:t xml:space="preserve"> ЕСПЧ, решение от 13 ноември 2007 г. по дело D.H. и други срещу Чешката република (жалба № 57325/00), точка 184, ЕСПЧ, решение от 9 юни 2009 г. по дело Opuz срещу Турция (жалба № 33401/02), точка 183 н ЕСПЧ, решение от 20 юни 2006 г. по дело Zarb Adami срещу Малта (жалба № 17209/02), точка 80.</w:t>
      </w:r>
    </w:p>
  </w:footnote>
  <w:footnote w:id="16">
    <w:p w:rsidR="004A5563" w:rsidRDefault="004A5563" w:rsidP="004A5563">
      <w:pPr>
        <w:pStyle w:val="FootnoteText"/>
        <w:jc w:val="both"/>
      </w:pPr>
      <w:r>
        <w:rPr>
          <w:rStyle w:val="FootnoteReference"/>
        </w:rPr>
        <w:footnoteRef/>
      </w:r>
      <w:r>
        <w:t xml:space="preserve"> СЕС, решение от 23 октомври 2003 г. по обединени дела Hilde Schönheit срещу Stadt Frankfurt am Main и Silvia Becker срещу Land Hessen, C-4/02 и C-5/02, Сборник 2003 г., стр. I-12575.</w:t>
      </w:r>
    </w:p>
  </w:footnote>
  <w:footnote w:id="17">
    <w:p w:rsidR="004A5563" w:rsidRDefault="004A5563" w:rsidP="004A5563">
      <w:pPr>
        <w:pStyle w:val="FootnoteText"/>
        <w:jc w:val="both"/>
      </w:pPr>
      <w:r>
        <w:rPr>
          <w:rStyle w:val="FootnoteReference"/>
        </w:rPr>
        <w:footnoteRef/>
      </w:r>
      <w:r>
        <w:t xml:space="preserve"> ЕСПЧ, решение от 13 ноември 2007 г. по дело D.H. и други срещу Чешката република (жалба № 57325/00), точка 79</w:t>
      </w:r>
    </w:p>
  </w:footnote>
  <w:footnote w:id="18">
    <w:p w:rsidR="004A5563" w:rsidRDefault="004A5563" w:rsidP="004A5563">
      <w:pPr>
        <w:pStyle w:val="FootnoteText"/>
        <w:jc w:val="both"/>
      </w:pPr>
      <w:r>
        <w:rPr>
          <w:rStyle w:val="FootnoteReference"/>
        </w:rPr>
        <w:footnoteRef/>
      </w:r>
      <w:r>
        <w:t xml:space="preserve"> СЕС, решение от 13 юли 1989 г. по дело Rinner</w:t>
      </w:r>
      <w:r>
        <w:rPr>
          <w:rFonts w:ascii="Cambria Math" w:hAnsi="Cambria Math" w:cs="Cambria Math"/>
        </w:rPr>
        <w:noBreakHyphen/>
      </w:r>
      <w:r>
        <w:t>K</w:t>
      </w:r>
      <w:r>
        <w:rPr>
          <w:rFonts w:ascii="Calibri" w:hAnsi="Calibri" w:cs="Calibri"/>
        </w:rPr>
        <w:t>ü</w:t>
      </w:r>
      <w:r>
        <w:t xml:space="preserve">hn </w:t>
      </w:r>
      <w:r>
        <w:rPr>
          <w:rFonts w:ascii="Calibri" w:hAnsi="Calibri" w:cs="Calibri"/>
        </w:rPr>
        <w:t>срещу</w:t>
      </w:r>
      <w:r>
        <w:t xml:space="preserve"> FWW Spezial</w:t>
      </w:r>
      <w:r>
        <w:rPr>
          <w:rFonts w:ascii="Cambria Math" w:hAnsi="Cambria Math" w:cs="Cambria Math"/>
        </w:rPr>
        <w:noBreakHyphen/>
      </w:r>
      <w:r>
        <w:t>Geb</w:t>
      </w:r>
      <w:r>
        <w:rPr>
          <w:rFonts w:ascii="Calibri" w:hAnsi="Calibri" w:cs="Calibri"/>
        </w:rPr>
        <w:t>ä</w:t>
      </w:r>
      <w:r>
        <w:t>udereinigung, 171/88, Сборник 1989 г., стр. 2743.</w:t>
      </w:r>
    </w:p>
  </w:footnote>
  <w:footnote w:id="19">
    <w:p w:rsidR="004A5563" w:rsidRDefault="004A5563" w:rsidP="004A5563">
      <w:pPr>
        <w:pStyle w:val="FootnoteText"/>
        <w:jc w:val="both"/>
      </w:pPr>
      <w:r>
        <w:rPr>
          <w:rStyle w:val="FootnoteReference"/>
        </w:rPr>
        <w:footnoteRef/>
      </w:r>
      <w:r>
        <w:t xml:space="preserve"> СЕС, решение от 7 февруари 1991 г. по дело Nimz срещу Freie und Hansestadt Hamburg, C-184/89, Сборник 1991 г., стр. I-297.</w:t>
      </w:r>
    </w:p>
  </w:footnote>
  <w:footnote w:id="20">
    <w:p w:rsidR="004A5563" w:rsidRDefault="004A5563" w:rsidP="004A5563">
      <w:pPr>
        <w:pStyle w:val="FootnoteText"/>
        <w:jc w:val="both"/>
      </w:pPr>
      <w:r>
        <w:rPr>
          <w:rStyle w:val="FootnoteReference"/>
        </w:rPr>
        <w:footnoteRef/>
      </w:r>
      <w:r>
        <w:t xml:space="preserve"> СЕС, решение от 27 юни 1990 г. по дело Kowalska срещу Freie und Hansestadt Hamburg, C-33/89, Сборник 1990 г., стр. I-2591</w:t>
      </w:r>
    </w:p>
  </w:footnote>
  <w:footnote w:id="21">
    <w:p w:rsidR="004A5563" w:rsidRDefault="004A5563" w:rsidP="004A5563">
      <w:pPr>
        <w:pStyle w:val="FootnoteText"/>
      </w:pPr>
      <w:r>
        <w:rPr>
          <w:rStyle w:val="FootnoteReference"/>
        </w:rPr>
        <w:footnoteRef/>
      </w:r>
      <w:r>
        <w:t xml:space="preserve"> СЕС, решение от 24 февруари 1994 г. по дело De Weerd, с моминско име Roks, и други срещу Bestuur van de Bedrijfsvereniging voor de Gezondheid, Geestelijke en Maatschappelijke Belangen и други, C-343/92, Сборник1994 г., стр. I-571</w:t>
      </w:r>
    </w:p>
  </w:footnote>
  <w:footnote w:id="22">
    <w:p w:rsidR="004A5563" w:rsidRDefault="004A5563" w:rsidP="004A5563">
      <w:pPr>
        <w:pStyle w:val="FootnoteText"/>
        <w:jc w:val="both"/>
      </w:pPr>
      <w:r>
        <w:rPr>
          <w:rStyle w:val="FootnoteReference"/>
        </w:rPr>
        <w:footnoteRef/>
      </w:r>
      <w:r>
        <w:t xml:space="preserve"> Заключение на генералния адвокат Léger от 31 май 1995 г., точки 57-58 по решението на СЕС от 14 декември 1995 г. по делото Nolte срещу Landesversicherungsanstalt Hannover, C-317/93, Сборник 1995 г., стр. I-4625. Пример за сходен подход, възприет в приложното поле на ЕКЗПЧОС: решението по дело D.H. и други срещу Чешката република (жалба № 57325/00), 13 ноември 2007 г. (разгледано в глава 5, раздел 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A87" w:rsidRDefault="009C0A87">
    <w:pPr>
      <w:pStyle w:val="Header"/>
    </w:pPr>
    <w:r>
      <w:rPr>
        <w:noProof/>
        <w:lang w:val="bg-B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453.4pt;height:318.75pt;z-index:-251657216;mso-position-horizontal:center;mso-position-horizontal-relative:margin;mso-position-vertical:center;mso-position-vertical-relative:margin" o:allowincell="f">
          <v:imagedata r:id="rId1" o:title="logo"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A87" w:rsidRDefault="009C0A87">
    <w:pPr>
      <w:pStyle w:val="Header"/>
    </w:pPr>
    <w:r>
      <w:rPr>
        <w:noProof/>
        <w:lang w:val="bg-B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453.4pt;height:318.75pt;z-index:-251656192;mso-position-horizontal:center;mso-position-horizontal-relative:margin;mso-position-vertical:center;mso-position-vertical-relative:margin" o:allowincell="f">
          <v:imagedata r:id="rId1" o:title="logo"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A87" w:rsidRDefault="009C0A87">
    <w:pPr>
      <w:pStyle w:val="Header"/>
    </w:pPr>
    <w:r>
      <w:rPr>
        <w:noProof/>
        <w:lang w:val="bg-B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453.4pt;height:318.75pt;z-index:-251658240;mso-position-horizontal:center;mso-position-horizontal-relative:margin;mso-position-vertical:center;mso-position-vertical-relative:margin" o:allowincell="f">
          <v:imagedata r:id="rId1" o:title="logo"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A626E1"/>
    <w:multiLevelType w:val="hybridMultilevel"/>
    <w:tmpl w:val="9C8417F4"/>
    <w:lvl w:ilvl="0" w:tplc="14B2388C">
      <w:start w:val="4"/>
      <w:numFmt w:val="upperRoman"/>
      <w:lvlText w:val="%1."/>
      <w:lvlJc w:val="left"/>
      <w:pPr>
        <w:ind w:left="1428" w:hanging="72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1" w15:restartNumberingAfterBreak="0">
    <w:nsid w:val="1F7A4834"/>
    <w:multiLevelType w:val="hybridMultilevel"/>
    <w:tmpl w:val="EA9CF8AC"/>
    <w:lvl w:ilvl="0" w:tplc="27DCA2E6">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 w15:restartNumberingAfterBreak="0">
    <w:nsid w:val="296003DA"/>
    <w:multiLevelType w:val="hybridMultilevel"/>
    <w:tmpl w:val="1BD04A6C"/>
    <w:lvl w:ilvl="0" w:tplc="BDC487AA">
      <w:start w:val="1"/>
      <w:numFmt w:val="upperRoman"/>
      <w:lvlText w:val="%1."/>
      <w:lvlJc w:val="left"/>
      <w:pPr>
        <w:ind w:left="1428" w:hanging="72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FA9"/>
    <w:rsid w:val="00124948"/>
    <w:rsid w:val="00183994"/>
    <w:rsid w:val="002E6DEB"/>
    <w:rsid w:val="00331500"/>
    <w:rsid w:val="0036686A"/>
    <w:rsid w:val="004A5563"/>
    <w:rsid w:val="00563DF8"/>
    <w:rsid w:val="006147EF"/>
    <w:rsid w:val="00621A8D"/>
    <w:rsid w:val="006F0A41"/>
    <w:rsid w:val="006F2A05"/>
    <w:rsid w:val="007A54D4"/>
    <w:rsid w:val="00805FA9"/>
    <w:rsid w:val="008843F3"/>
    <w:rsid w:val="008B7C69"/>
    <w:rsid w:val="009C0A87"/>
    <w:rsid w:val="00A2411D"/>
    <w:rsid w:val="00A53897"/>
    <w:rsid w:val="00B6736E"/>
    <w:rsid w:val="00D504AA"/>
    <w:rsid w:val="00D92809"/>
    <w:rsid w:val="00D97F62"/>
    <w:rsid w:val="00DA530A"/>
    <w:rsid w:val="00E07751"/>
    <w:rsid w:val="00E37690"/>
    <w:rsid w:val="00E501F7"/>
    <w:rsid w:val="00E6450C"/>
    <w:rsid w:val="00F476E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E6CE11BC-AA41-4BB0-862F-823462DDD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FA9"/>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1"/>
    <w:uiPriority w:val="99"/>
    <w:semiHidden/>
    <w:unhideWhenUsed/>
    <w:rsid w:val="00805FA9"/>
    <w:pPr>
      <w:spacing w:after="0" w:line="240" w:lineRule="auto"/>
    </w:pPr>
    <w:rPr>
      <w:rFonts w:ascii="Times New Roman" w:eastAsia="Times New Roman" w:hAnsi="Times New Roman" w:cs="Times New Roman"/>
      <w:sz w:val="20"/>
      <w:szCs w:val="20"/>
      <w:lang w:val="bg-BG" w:eastAsia="bg-BG"/>
    </w:rPr>
  </w:style>
  <w:style w:type="character" w:customStyle="1" w:styleId="FootnoteTextChar">
    <w:name w:val="Footnote Text Char"/>
    <w:basedOn w:val="DefaultParagraphFont"/>
    <w:uiPriority w:val="99"/>
    <w:semiHidden/>
    <w:rsid w:val="00805FA9"/>
    <w:rPr>
      <w:sz w:val="20"/>
      <w:szCs w:val="20"/>
      <w:lang w:val="en-US"/>
    </w:rPr>
  </w:style>
  <w:style w:type="paragraph" w:styleId="ListParagraph">
    <w:name w:val="List Paragraph"/>
    <w:basedOn w:val="Normal"/>
    <w:uiPriority w:val="34"/>
    <w:qFormat/>
    <w:rsid w:val="00805FA9"/>
    <w:pPr>
      <w:spacing w:after="0" w:line="240" w:lineRule="auto"/>
      <w:ind w:left="720"/>
      <w:contextualSpacing/>
    </w:pPr>
    <w:rPr>
      <w:rFonts w:ascii="Times New Roman" w:eastAsia="Times New Roman" w:hAnsi="Times New Roman" w:cs="Times New Roman"/>
      <w:sz w:val="24"/>
      <w:szCs w:val="24"/>
    </w:rPr>
  </w:style>
  <w:style w:type="character" w:styleId="FootnoteReference">
    <w:name w:val="footnote reference"/>
    <w:basedOn w:val="DefaultParagraphFont"/>
    <w:semiHidden/>
    <w:unhideWhenUsed/>
    <w:rsid w:val="00805FA9"/>
    <w:rPr>
      <w:vertAlign w:val="superscript"/>
    </w:rPr>
  </w:style>
  <w:style w:type="character" w:customStyle="1" w:styleId="FootnoteTextChar1">
    <w:name w:val="Footnote Text Char1"/>
    <w:basedOn w:val="DefaultParagraphFont"/>
    <w:link w:val="FootnoteText"/>
    <w:uiPriority w:val="99"/>
    <w:semiHidden/>
    <w:locked/>
    <w:rsid w:val="00805FA9"/>
    <w:rPr>
      <w:rFonts w:ascii="Times New Roman" w:eastAsia="Times New Roman" w:hAnsi="Times New Roman" w:cs="Times New Roman"/>
      <w:sz w:val="20"/>
      <w:szCs w:val="20"/>
      <w:lang w:eastAsia="bg-BG"/>
    </w:rPr>
  </w:style>
  <w:style w:type="paragraph" w:styleId="Header">
    <w:name w:val="header"/>
    <w:basedOn w:val="Normal"/>
    <w:link w:val="HeaderChar"/>
    <w:uiPriority w:val="99"/>
    <w:unhideWhenUsed/>
    <w:rsid w:val="007A54D4"/>
    <w:pPr>
      <w:tabs>
        <w:tab w:val="center" w:pos="4536"/>
        <w:tab w:val="right" w:pos="9072"/>
      </w:tabs>
      <w:spacing w:after="0" w:line="240" w:lineRule="auto"/>
    </w:pPr>
  </w:style>
  <w:style w:type="character" w:customStyle="1" w:styleId="HeaderChar">
    <w:name w:val="Header Char"/>
    <w:basedOn w:val="DefaultParagraphFont"/>
    <w:link w:val="Header"/>
    <w:uiPriority w:val="99"/>
    <w:rsid w:val="007A54D4"/>
    <w:rPr>
      <w:lang w:val="en-US"/>
    </w:rPr>
  </w:style>
  <w:style w:type="paragraph" w:styleId="Footer">
    <w:name w:val="footer"/>
    <w:basedOn w:val="Normal"/>
    <w:link w:val="FooterChar"/>
    <w:uiPriority w:val="99"/>
    <w:unhideWhenUsed/>
    <w:rsid w:val="007A54D4"/>
    <w:pPr>
      <w:tabs>
        <w:tab w:val="center" w:pos="4536"/>
        <w:tab w:val="right" w:pos="9072"/>
      </w:tabs>
      <w:spacing w:after="0" w:line="240" w:lineRule="auto"/>
    </w:pPr>
  </w:style>
  <w:style w:type="character" w:customStyle="1" w:styleId="FooterChar">
    <w:name w:val="Footer Char"/>
    <w:basedOn w:val="DefaultParagraphFont"/>
    <w:link w:val="Footer"/>
    <w:uiPriority w:val="99"/>
    <w:rsid w:val="007A54D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86616">
      <w:bodyDiv w:val="1"/>
      <w:marLeft w:val="0"/>
      <w:marRight w:val="0"/>
      <w:marTop w:val="0"/>
      <w:marBottom w:val="0"/>
      <w:divBdr>
        <w:top w:val="none" w:sz="0" w:space="0" w:color="auto"/>
        <w:left w:val="none" w:sz="0" w:space="0" w:color="auto"/>
        <w:bottom w:val="none" w:sz="0" w:space="0" w:color="auto"/>
        <w:right w:val="none" w:sz="0" w:space="0" w:color="auto"/>
      </w:divBdr>
    </w:div>
    <w:div w:id="490289738">
      <w:bodyDiv w:val="1"/>
      <w:marLeft w:val="0"/>
      <w:marRight w:val="0"/>
      <w:marTop w:val="0"/>
      <w:marBottom w:val="0"/>
      <w:divBdr>
        <w:top w:val="none" w:sz="0" w:space="0" w:color="auto"/>
        <w:left w:val="none" w:sz="0" w:space="0" w:color="auto"/>
        <w:bottom w:val="none" w:sz="0" w:space="0" w:color="auto"/>
        <w:right w:val="none" w:sz="0" w:space="0" w:color="auto"/>
      </w:divBdr>
    </w:div>
    <w:div w:id="838816646">
      <w:bodyDiv w:val="1"/>
      <w:marLeft w:val="0"/>
      <w:marRight w:val="0"/>
      <w:marTop w:val="0"/>
      <w:marBottom w:val="0"/>
      <w:divBdr>
        <w:top w:val="none" w:sz="0" w:space="0" w:color="auto"/>
        <w:left w:val="none" w:sz="0" w:space="0" w:color="auto"/>
        <w:bottom w:val="none" w:sz="0" w:space="0" w:color="auto"/>
        <w:right w:val="none" w:sz="0" w:space="0" w:color="auto"/>
      </w:divBdr>
    </w:div>
    <w:div w:id="1644113209">
      <w:bodyDiv w:val="1"/>
      <w:marLeft w:val="0"/>
      <w:marRight w:val="0"/>
      <w:marTop w:val="0"/>
      <w:marBottom w:val="0"/>
      <w:divBdr>
        <w:top w:val="none" w:sz="0" w:space="0" w:color="auto"/>
        <w:left w:val="none" w:sz="0" w:space="0" w:color="auto"/>
        <w:bottom w:val="none" w:sz="0" w:space="0" w:color="auto"/>
        <w:right w:val="none" w:sz="0" w:space="0" w:color="auto"/>
      </w:divBdr>
    </w:div>
    <w:div w:id="1813594238">
      <w:bodyDiv w:val="1"/>
      <w:marLeft w:val="0"/>
      <w:marRight w:val="0"/>
      <w:marTop w:val="0"/>
      <w:marBottom w:val="0"/>
      <w:divBdr>
        <w:top w:val="none" w:sz="0" w:space="0" w:color="auto"/>
        <w:left w:val="none" w:sz="0" w:space="0" w:color="auto"/>
        <w:bottom w:val="none" w:sz="0" w:space="0" w:color="auto"/>
        <w:right w:val="none" w:sz="0" w:space="0" w:color="auto"/>
      </w:divBdr>
    </w:div>
    <w:div w:id="200678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5F082-AA26-416C-9F67-983B8AB3A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4095</Words>
  <Characters>23348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Law_202kab_2</dc:creator>
  <cp:lastModifiedBy>Law_PPN2</cp:lastModifiedBy>
  <cp:revision>5</cp:revision>
  <dcterms:created xsi:type="dcterms:W3CDTF">2015-11-20T12:26:00Z</dcterms:created>
  <dcterms:modified xsi:type="dcterms:W3CDTF">2015-11-27T12:06:00Z</dcterms:modified>
</cp:coreProperties>
</file>