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C8" w:rsidRDefault="00171DC8" w:rsidP="006C05FC">
      <w:pPr>
        <w:spacing w:after="0" w:line="360" w:lineRule="auto"/>
        <w:jc w:val="center"/>
        <w:rPr>
          <w:b/>
          <w:sz w:val="28"/>
          <w:szCs w:val="28"/>
        </w:rPr>
      </w:pPr>
      <w:bookmarkStart w:id="0" w:name="_GoBack"/>
      <w:bookmarkEnd w:id="0"/>
      <w:r w:rsidRPr="006C05FC">
        <w:rPr>
          <w:b/>
          <w:sz w:val="28"/>
          <w:szCs w:val="28"/>
        </w:rPr>
        <w:t>РАЗСЪЖДЕНИЯ ЗА СЪОТНОШЕНИЕТО МЕЖДУ МЕЖДУНАРОДНОТО ПУБЛИЧНО ПРАВО И ПРАВОТО НА ЕВРОПЕЙСКИЯ СЪЮЗ</w:t>
      </w:r>
    </w:p>
    <w:p w:rsidR="006C05FC" w:rsidRPr="006C05FC" w:rsidRDefault="006C05FC" w:rsidP="006C05FC">
      <w:pPr>
        <w:spacing w:after="0" w:line="360" w:lineRule="auto"/>
        <w:jc w:val="center"/>
        <w:rPr>
          <w:b/>
          <w:sz w:val="28"/>
          <w:szCs w:val="28"/>
        </w:rPr>
      </w:pPr>
    </w:p>
    <w:p w:rsidR="007025F7" w:rsidRPr="006C05FC" w:rsidRDefault="007025F7" w:rsidP="006C05FC">
      <w:pPr>
        <w:spacing w:after="0" w:line="360" w:lineRule="auto"/>
        <w:jc w:val="right"/>
        <w:rPr>
          <w:b/>
          <w:i/>
          <w:sz w:val="24"/>
          <w:szCs w:val="24"/>
        </w:rPr>
      </w:pPr>
      <w:r w:rsidRPr="006C05FC">
        <w:rPr>
          <w:b/>
          <w:i/>
          <w:sz w:val="24"/>
          <w:szCs w:val="24"/>
        </w:rPr>
        <w:t>Ирена Илиева</w:t>
      </w:r>
      <w:r w:rsidR="001C4295">
        <w:rPr>
          <w:rStyle w:val="FootnoteReference"/>
          <w:b/>
          <w:i/>
          <w:sz w:val="24"/>
          <w:szCs w:val="24"/>
        </w:rPr>
        <w:footnoteReference w:id="1"/>
      </w:r>
    </w:p>
    <w:p w:rsidR="00933BB8" w:rsidRDefault="00933BB8" w:rsidP="00933BB8">
      <w:pPr>
        <w:spacing w:after="0" w:line="360" w:lineRule="auto"/>
        <w:jc w:val="both"/>
        <w:rPr>
          <w:sz w:val="24"/>
          <w:szCs w:val="24"/>
        </w:rPr>
      </w:pPr>
    </w:p>
    <w:p w:rsidR="007025F7" w:rsidRPr="006C05FC" w:rsidRDefault="007025F7" w:rsidP="00933BB8">
      <w:pPr>
        <w:spacing w:after="0" w:line="360" w:lineRule="auto"/>
        <w:ind w:firstLine="708"/>
        <w:jc w:val="both"/>
        <w:rPr>
          <w:sz w:val="24"/>
          <w:szCs w:val="24"/>
        </w:rPr>
      </w:pPr>
      <w:r w:rsidRPr="006C05FC">
        <w:rPr>
          <w:sz w:val="24"/>
          <w:szCs w:val="24"/>
        </w:rPr>
        <w:t xml:space="preserve">Правото не е веднъж завинаги дадена, константна и консервативна даденост. Същностното обяснение на това явление най-адекватно се изразява чрез </w:t>
      </w:r>
      <w:r w:rsidR="00933BB8">
        <w:rPr>
          <w:sz w:val="24"/>
          <w:szCs w:val="24"/>
        </w:rPr>
        <w:t xml:space="preserve">системния подход. </w:t>
      </w:r>
      <w:r w:rsidRPr="006C05FC">
        <w:rPr>
          <w:sz w:val="24"/>
          <w:szCs w:val="24"/>
        </w:rPr>
        <w:t xml:space="preserve">Правото, съпътстващо и регулиращо човешкото общество, е динамично </w:t>
      </w:r>
      <w:r w:rsidR="00933BB8" w:rsidRPr="006C05FC">
        <w:rPr>
          <w:sz w:val="24"/>
          <w:szCs w:val="24"/>
        </w:rPr>
        <w:t>развиваща</w:t>
      </w:r>
      <w:r w:rsidRPr="006C05FC">
        <w:rPr>
          <w:sz w:val="24"/>
          <w:szCs w:val="24"/>
        </w:rPr>
        <w:t xml:space="preserve"> се система от норми, задължителни за техните адресати.</w:t>
      </w:r>
    </w:p>
    <w:p w:rsidR="007025F7" w:rsidRPr="006C05FC" w:rsidRDefault="007025F7" w:rsidP="00341969">
      <w:pPr>
        <w:spacing w:after="0" w:line="360" w:lineRule="auto"/>
        <w:ind w:firstLine="708"/>
        <w:jc w:val="both"/>
        <w:rPr>
          <w:sz w:val="24"/>
          <w:szCs w:val="24"/>
        </w:rPr>
      </w:pPr>
      <w:r w:rsidRPr="006C05FC">
        <w:rPr>
          <w:sz w:val="24"/>
          <w:szCs w:val="24"/>
        </w:rPr>
        <w:t>Съвременното международното публично право е ярко доказателство за непрекъснатите промени на тази самостоятелна правна система, въплътяваща най-силно стремежа на човечеството да осигури мир, благоденствие, разрешаване на международните, включително глобалните проблеми на съвременния свят.</w:t>
      </w:r>
    </w:p>
    <w:p w:rsidR="007025F7" w:rsidRPr="006C05FC" w:rsidRDefault="007025F7" w:rsidP="00341969">
      <w:pPr>
        <w:spacing w:after="0" w:line="360" w:lineRule="auto"/>
        <w:ind w:firstLine="708"/>
        <w:jc w:val="both"/>
        <w:rPr>
          <w:sz w:val="24"/>
          <w:szCs w:val="24"/>
        </w:rPr>
      </w:pPr>
      <w:r w:rsidRPr="006C05FC">
        <w:rPr>
          <w:sz w:val="24"/>
          <w:szCs w:val="24"/>
        </w:rPr>
        <w:t>Международното обкръжение на държавите става все по-сложно, взаимната зависимост и глобализацията</w:t>
      </w:r>
      <w:r w:rsidR="00515610" w:rsidRPr="006C05FC">
        <w:rPr>
          <w:sz w:val="24"/>
          <w:szCs w:val="24"/>
        </w:rPr>
        <w:t xml:space="preserve"> дефинират нови модели на външнополитическо поведение. Неимоверно нарастна броят на актьорите на международната сцена, съответно на безспорните и спорни субекти на международното публично право</w:t>
      </w:r>
      <w:r w:rsidR="00E87C6E" w:rsidRPr="006C05FC">
        <w:rPr>
          <w:rStyle w:val="FootnoteReference"/>
          <w:sz w:val="24"/>
          <w:szCs w:val="24"/>
        </w:rPr>
        <w:footnoteReference w:id="2"/>
      </w:r>
      <w:r w:rsidR="00515610" w:rsidRPr="006C05FC">
        <w:rPr>
          <w:sz w:val="24"/>
          <w:szCs w:val="24"/>
        </w:rPr>
        <w:t>.</w:t>
      </w:r>
    </w:p>
    <w:p w:rsidR="00171DC8" w:rsidRPr="006C05FC" w:rsidRDefault="00515610"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Традиционно международното публично право</w:t>
      </w:r>
      <w:r w:rsidR="00171DC8" w:rsidRPr="006C05FC">
        <w:rPr>
          <w:rFonts w:eastAsia="Times New Roman"/>
          <w:bCs/>
          <w:sz w:val="24"/>
          <w:szCs w:val="24"/>
          <w:lang w:eastAsia="bg-BG"/>
        </w:rPr>
        <w:t xml:space="preserve"> </w:t>
      </w:r>
      <w:r w:rsidRPr="006C05FC">
        <w:rPr>
          <w:rFonts w:eastAsia="Times New Roman"/>
          <w:bCs/>
          <w:sz w:val="24"/>
          <w:szCs w:val="24"/>
          <w:lang w:eastAsia="bg-BG"/>
        </w:rPr>
        <w:t>се</w:t>
      </w:r>
      <w:r w:rsidR="00171DC8" w:rsidRPr="006C05FC">
        <w:rPr>
          <w:rFonts w:eastAsia="Times New Roman"/>
          <w:bCs/>
          <w:sz w:val="24"/>
          <w:szCs w:val="24"/>
          <w:lang w:eastAsia="bg-BG"/>
        </w:rPr>
        <w:t xml:space="preserve"> определ</w:t>
      </w:r>
      <w:r w:rsidRPr="006C05FC">
        <w:rPr>
          <w:rFonts w:eastAsia="Times New Roman"/>
          <w:bCs/>
          <w:sz w:val="24"/>
          <w:szCs w:val="24"/>
          <w:lang w:eastAsia="bg-BG"/>
        </w:rPr>
        <w:t>я</w:t>
      </w:r>
      <w:r w:rsidR="00171DC8" w:rsidRPr="006C05FC">
        <w:rPr>
          <w:rFonts w:eastAsia="Times New Roman"/>
          <w:bCs/>
          <w:sz w:val="24"/>
          <w:szCs w:val="24"/>
          <w:lang w:eastAsia="bg-BG"/>
        </w:rPr>
        <w:t xml:space="preserve"> като система от </w:t>
      </w:r>
      <w:r w:rsidRPr="006C05FC">
        <w:rPr>
          <w:rFonts w:eastAsia="Times New Roman"/>
          <w:bCs/>
          <w:sz w:val="24"/>
          <w:szCs w:val="24"/>
          <w:lang w:eastAsia="bg-BG"/>
        </w:rPr>
        <w:t xml:space="preserve">правни принципи и </w:t>
      </w:r>
      <w:r w:rsidR="00933BB8">
        <w:rPr>
          <w:rFonts w:eastAsia="Times New Roman"/>
          <w:bCs/>
          <w:sz w:val="24"/>
          <w:szCs w:val="24"/>
          <w:lang w:eastAsia="bg-BG"/>
        </w:rPr>
        <w:t xml:space="preserve">норми, регулиращи </w:t>
      </w:r>
      <w:r w:rsidR="00171DC8" w:rsidRPr="006C05FC">
        <w:rPr>
          <w:rFonts w:eastAsia="Times New Roman"/>
          <w:bCs/>
          <w:sz w:val="24"/>
          <w:szCs w:val="24"/>
          <w:lang w:eastAsia="bg-BG"/>
        </w:rPr>
        <w:t>отношенията  между държавите,</w:t>
      </w:r>
      <w:r w:rsidRPr="006C05FC">
        <w:rPr>
          <w:rFonts w:eastAsia="Times New Roman"/>
          <w:bCs/>
          <w:sz w:val="24"/>
          <w:szCs w:val="24"/>
          <w:lang w:eastAsia="bg-BG"/>
        </w:rPr>
        <w:t xml:space="preserve"> нациите и народите, борещи се за самоопределение,</w:t>
      </w:r>
      <w:r w:rsidR="00171DC8" w:rsidRPr="006C05FC">
        <w:rPr>
          <w:rFonts w:eastAsia="Times New Roman"/>
          <w:bCs/>
          <w:sz w:val="24"/>
          <w:szCs w:val="24"/>
          <w:lang w:eastAsia="bg-BG"/>
        </w:rPr>
        <w:t xml:space="preserve"> международните</w:t>
      </w:r>
      <w:r w:rsidRPr="006C05FC">
        <w:rPr>
          <w:rFonts w:eastAsia="Times New Roman"/>
          <w:bCs/>
          <w:sz w:val="24"/>
          <w:szCs w:val="24"/>
          <w:lang w:eastAsia="bg-BG"/>
        </w:rPr>
        <w:t xml:space="preserve"> междуправителствени</w:t>
      </w:r>
      <w:r w:rsidR="00171DC8" w:rsidRPr="006C05FC">
        <w:rPr>
          <w:rFonts w:eastAsia="Times New Roman"/>
          <w:bCs/>
          <w:sz w:val="24"/>
          <w:szCs w:val="24"/>
          <w:lang w:eastAsia="bg-BG"/>
        </w:rPr>
        <w:t xml:space="preserve"> организации и други субекти</w:t>
      </w:r>
      <w:r w:rsidRPr="006C05FC">
        <w:rPr>
          <w:rFonts w:eastAsia="Times New Roman"/>
          <w:bCs/>
          <w:sz w:val="24"/>
          <w:szCs w:val="24"/>
          <w:lang w:eastAsia="bg-BG"/>
        </w:rPr>
        <w:t xml:space="preserve"> </w:t>
      </w:r>
      <w:r w:rsidR="00F328C3" w:rsidRPr="006C05FC">
        <w:rPr>
          <w:rFonts w:eastAsia="Times New Roman"/>
          <w:bCs/>
          <w:sz w:val="24"/>
          <w:szCs w:val="24"/>
          <w:lang w:eastAsia="bg-BG"/>
        </w:rPr>
        <w:t xml:space="preserve">(най-вече </w:t>
      </w:r>
      <w:r w:rsidR="00933BB8" w:rsidRPr="006C05FC">
        <w:rPr>
          <w:rFonts w:eastAsia="Times New Roman"/>
          <w:bCs/>
          <w:sz w:val="24"/>
          <w:szCs w:val="24"/>
          <w:lang w:eastAsia="bg-BG"/>
        </w:rPr>
        <w:t>държавоподобни</w:t>
      </w:r>
      <w:r w:rsidR="00F328C3" w:rsidRPr="006C05FC">
        <w:rPr>
          <w:rFonts w:eastAsia="Times New Roman"/>
          <w:bCs/>
          <w:sz w:val="24"/>
          <w:szCs w:val="24"/>
          <w:lang w:eastAsia="bg-BG"/>
        </w:rPr>
        <w:t xml:space="preserve"> образувания)</w:t>
      </w:r>
      <w:r w:rsidR="00171DC8" w:rsidRPr="006C05FC">
        <w:rPr>
          <w:rFonts w:eastAsia="Times New Roman"/>
          <w:bCs/>
          <w:sz w:val="24"/>
          <w:szCs w:val="24"/>
          <w:lang w:eastAsia="bg-BG"/>
        </w:rPr>
        <w:t xml:space="preserve">, които имат </w:t>
      </w:r>
      <w:r w:rsidR="00F328C3" w:rsidRPr="006C05FC">
        <w:rPr>
          <w:rFonts w:eastAsia="Times New Roman"/>
          <w:bCs/>
          <w:sz w:val="24"/>
          <w:szCs w:val="24"/>
          <w:lang w:eastAsia="bg-BG"/>
        </w:rPr>
        <w:t>международна правосубектност</w:t>
      </w:r>
      <w:r w:rsidR="00171DC8" w:rsidRPr="006C05FC">
        <w:rPr>
          <w:rFonts w:eastAsia="Times New Roman"/>
          <w:bCs/>
          <w:sz w:val="24"/>
          <w:szCs w:val="24"/>
          <w:lang w:eastAsia="bg-BG"/>
        </w:rPr>
        <w:t>.</w:t>
      </w:r>
    </w:p>
    <w:p w:rsidR="00F328C3" w:rsidRPr="006C05FC" w:rsidRDefault="00F328C3"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Обикновено, за да се разбере същността на международното право</w:t>
      </w:r>
      <w:r w:rsidR="00341969">
        <w:rPr>
          <w:rFonts w:eastAsia="Times New Roman"/>
          <w:bCs/>
          <w:sz w:val="24"/>
          <w:szCs w:val="24"/>
          <w:lang w:val="en-US" w:eastAsia="bg-BG"/>
        </w:rPr>
        <w:t>,</w:t>
      </w:r>
      <w:r w:rsidRPr="006C05FC">
        <w:rPr>
          <w:rFonts w:eastAsia="Times New Roman"/>
          <w:bCs/>
          <w:sz w:val="24"/>
          <w:szCs w:val="24"/>
          <w:lang w:eastAsia="bg-BG"/>
        </w:rPr>
        <w:t xml:space="preserve"> се прибягва до </w:t>
      </w:r>
      <w:r w:rsidR="00933BB8" w:rsidRPr="006C05FC">
        <w:rPr>
          <w:rFonts w:eastAsia="Times New Roman"/>
          <w:bCs/>
          <w:sz w:val="24"/>
          <w:szCs w:val="24"/>
          <w:lang w:eastAsia="bg-BG"/>
        </w:rPr>
        <w:t>ограничаването</w:t>
      </w:r>
      <w:r w:rsidRPr="006C05FC">
        <w:rPr>
          <w:rFonts w:eastAsia="Times New Roman"/>
          <w:bCs/>
          <w:sz w:val="24"/>
          <w:szCs w:val="24"/>
          <w:lang w:eastAsia="bg-BG"/>
        </w:rPr>
        <w:t xml:space="preserve"> му от вътрешното право на държавите, от националните правни системи.</w:t>
      </w:r>
    </w:p>
    <w:p w:rsidR="001C4295" w:rsidRDefault="00F328C3"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Настоящата статия си поставя ограничената задача да представи някои разсъждения на автора относно съотношението му с правото на Европейския съюз </w:t>
      </w:r>
      <w:r w:rsidR="004A6057" w:rsidRPr="006C05FC">
        <w:rPr>
          <w:rFonts w:eastAsia="Times New Roman"/>
          <w:bCs/>
          <w:sz w:val="24"/>
          <w:szCs w:val="24"/>
          <w:lang w:eastAsia="bg-BG"/>
        </w:rPr>
        <w:t xml:space="preserve">като друга уникална  и самостоятелна правна система. </w:t>
      </w:r>
    </w:p>
    <w:p w:rsidR="004A6057" w:rsidRPr="006C05FC" w:rsidRDefault="00066E13"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lastRenderedPageBreak/>
        <w:t>Отправната точка тук е споделянето на преобладаващото мнение, че съвкупността от учредителните договори</w:t>
      </w:r>
      <w:r w:rsidR="00E5656C" w:rsidRPr="006C05FC">
        <w:rPr>
          <w:rFonts w:eastAsia="Times New Roman"/>
          <w:bCs/>
          <w:sz w:val="24"/>
          <w:szCs w:val="24"/>
          <w:lang w:eastAsia="bg-BG"/>
        </w:rPr>
        <w:t xml:space="preserve"> </w:t>
      </w:r>
      <w:r w:rsidRPr="006C05FC">
        <w:rPr>
          <w:rFonts w:eastAsia="Times New Roman"/>
          <w:bCs/>
          <w:sz w:val="24"/>
          <w:szCs w:val="24"/>
          <w:lang w:eastAsia="bg-BG"/>
        </w:rPr>
        <w:t xml:space="preserve">на Общностите/сега ЕС (първичното право) и вторичното европейско право формират отделна правна система. </w:t>
      </w:r>
      <w:r w:rsidR="004A6057" w:rsidRPr="006C05FC">
        <w:rPr>
          <w:rFonts w:eastAsia="Times New Roman"/>
          <w:bCs/>
          <w:sz w:val="24"/>
          <w:szCs w:val="24"/>
          <w:lang w:eastAsia="bg-BG"/>
        </w:rPr>
        <w:t xml:space="preserve">Дискусиите </w:t>
      </w:r>
      <w:r w:rsidR="00B729E5" w:rsidRPr="006C05FC">
        <w:rPr>
          <w:rFonts w:eastAsia="Times New Roman"/>
          <w:bCs/>
          <w:sz w:val="24"/>
          <w:szCs w:val="24"/>
          <w:lang w:eastAsia="bg-BG"/>
        </w:rPr>
        <w:t>относно нейната същ</w:t>
      </w:r>
      <w:r w:rsidR="00933BB8">
        <w:rPr>
          <w:rFonts w:eastAsia="Times New Roman"/>
          <w:bCs/>
          <w:sz w:val="24"/>
          <w:szCs w:val="24"/>
          <w:lang w:eastAsia="bg-BG"/>
        </w:rPr>
        <w:t xml:space="preserve">ност, както и за съотношението </w:t>
      </w:r>
      <w:r w:rsidR="00B729E5" w:rsidRPr="006C05FC">
        <w:rPr>
          <w:rFonts w:eastAsia="Times New Roman"/>
          <w:bCs/>
          <w:sz w:val="24"/>
          <w:szCs w:val="24"/>
          <w:lang w:eastAsia="bg-BG"/>
        </w:rPr>
        <w:t>й с международното публично право</w:t>
      </w:r>
      <w:r w:rsidR="004A6057" w:rsidRPr="006C05FC">
        <w:rPr>
          <w:rFonts w:eastAsia="Times New Roman"/>
          <w:bCs/>
          <w:sz w:val="24"/>
          <w:szCs w:val="24"/>
          <w:lang w:eastAsia="bg-BG"/>
        </w:rPr>
        <w:t xml:space="preserve"> не са преставали от създаването на европейските общности, през</w:t>
      </w:r>
      <w:r w:rsidR="00B729E5" w:rsidRPr="006C05FC">
        <w:rPr>
          <w:rFonts w:eastAsia="Times New Roman"/>
          <w:bCs/>
          <w:sz w:val="24"/>
          <w:szCs w:val="24"/>
          <w:lang w:eastAsia="bg-BG"/>
        </w:rPr>
        <w:t xml:space="preserve"> целия период на</w:t>
      </w:r>
      <w:r w:rsidR="004A6057" w:rsidRPr="006C05FC">
        <w:rPr>
          <w:rFonts w:eastAsia="Times New Roman"/>
          <w:bCs/>
          <w:sz w:val="24"/>
          <w:szCs w:val="24"/>
          <w:lang w:eastAsia="bg-BG"/>
        </w:rPr>
        <w:t xml:space="preserve"> трансформирането им в сега съществуващия Европейски съюз.</w:t>
      </w:r>
      <w:r w:rsidRPr="006C05FC">
        <w:rPr>
          <w:rFonts w:eastAsia="Times New Roman"/>
          <w:bCs/>
          <w:sz w:val="24"/>
          <w:szCs w:val="24"/>
          <w:lang w:eastAsia="bg-BG"/>
        </w:rPr>
        <w:t xml:space="preserve"> Те се подхранват и от юриспруденцията.</w:t>
      </w:r>
    </w:p>
    <w:p w:rsidR="00066E13" w:rsidRPr="006C05FC" w:rsidRDefault="00066E13"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Разсъжденията в следващото изложение са на примера </w:t>
      </w:r>
      <w:r w:rsidR="00681595">
        <w:rPr>
          <w:rFonts w:eastAsia="Times New Roman"/>
          <w:bCs/>
          <w:sz w:val="24"/>
          <w:szCs w:val="24"/>
          <w:lang w:eastAsia="bg-BG"/>
        </w:rPr>
        <w:t>на санкциите на Комитета срещу А</w:t>
      </w:r>
      <w:r w:rsidRPr="006C05FC">
        <w:rPr>
          <w:rFonts w:eastAsia="Times New Roman"/>
          <w:bCs/>
          <w:sz w:val="24"/>
          <w:szCs w:val="24"/>
          <w:lang w:eastAsia="bg-BG"/>
        </w:rPr>
        <w:t>л Кайда и Талибаните</w:t>
      </w:r>
      <w:r w:rsidRPr="006C05FC">
        <w:rPr>
          <w:rFonts w:eastAsia="Times New Roman"/>
          <w:bCs/>
          <w:sz w:val="24"/>
          <w:szCs w:val="24"/>
          <w:vertAlign w:val="superscript"/>
          <w:lang w:eastAsia="bg-BG"/>
        </w:rPr>
        <w:footnoteReference w:id="3"/>
      </w:r>
      <w:r w:rsidRPr="006C05FC">
        <w:rPr>
          <w:rFonts w:eastAsia="Times New Roman"/>
          <w:bCs/>
          <w:sz w:val="24"/>
          <w:szCs w:val="24"/>
          <w:lang w:eastAsia="bg-BG"/>
        </w:rPr>
        <w:t xml:space="preserve"> и правото на Европейския съюз (ЕС) с фокус върху делата </w:t>
      </w:r>
      <w:r w:rsidRPr="006C05FC">
        <w:rPr>
          <w:rFonts w:eastAsia="Times New Roman"/>
          <w:bCs/>
          <w:i/>
          <w:sz w:val="24"/>
          <w:szCs w:val="24"/>
          <w:lang w:eastAsia="bg-BG"/>
        </w:rPr>
        <w:t>Ахмед Али Юсуф/Ал Баракаат</w:t>
      </w:r>
      <w:r w:rsidRPr="006C05FC">
        <w:rPr>
          <w:rFonts w:eastAsia="Times New Roman"/>
          <w:bCs/>
          <w:sz w:val="24"/>
          <w:szCs w:val="24"/>
          <w:lang w:eastAsia="bg-BG"/>
        </w:rPr>
        <w:t xml:space="preserve"> на Общия съ</w:t>
      </w:r>
      <w:r w:rsidR="00933BB8">
        <w:rPr>
          <w:rFonts w:eastAsia="Times New Roman"/>
          <w:bCs/>
          <w:sz w:val="24"/>
          <w:szCs w:val="24"/>
          <w:lang w:eastAsia="bg-BG"/>
        </w:rPr>
        <w:t xml:space="preserve">д (Първоинстанционния съд преди </w:t>
      </w:r>
      <w:r w:rsidRPr="006C05FC">
        <w:rPr>
          <w:rFonts w:eastAsia="Times New Roman"/>
          <w:bCs/>
          <w:sz w:val="24"/>
          <w:szCs w:val="24"/>
          <w:lang w:eastAsia="bg-BG"/>
        </w:rPr>
        <w:t>1 декември 2009 г.)</w:t>
      </w:r>
      <w:r w:rsidRPr="006C05FC">
        <w:rPr>
          <w:rFonts w:eastAsia="Times New Roman"/>
          <w:bCs/>
          <w:sz w:val="24"/>
          <w:szCs w:val="24"/>
          <w:vertAlign w:val="superscript"/>
          <w:lang w:eastAsia="bg-BG"/>
        </w:rPr>
        <w:footnoteReference w:id="4"/>
      </w:r>
      <w:r w:rsidRPr="006C05FC">
        <w:rPr>
          <w:rFonts w:eastAsia="Times New Roman"/>
          <w:bCs/>
          <w:sz w:val="24"/>
          <w:szCs w:val="24"/>
          <w:lang w:eastAsia="bg-BG"/>
        </w:rPr>
        <w:t xml:space="preserve"> и решението </w:t>
      </w:r>
      <w:r w:rsidRPr="006C05FC">
        <w:rPr>
          <w:rFonts w:eastAsia="Times New Roman"/>
          <w:bCs/>
          <w:i/>
          <w:sz w:val="24"/>
          <w:szCs w:val="24"/>
          <w:lang w:eastAsia="bg-BG"/>
        </w:rPr>
        <w:t>Кади/Ал Баракаат</w:t>
      </w:r>
      <w:r w:rsidRPr="006C05FC">
        <w:rPr>
          <w:rFonts w:eastAsia="Times New Roman"/>
          <w:bCs/>
          <w:sz w:val="24"/>
          <w:szCs w:val="24"/>
          <w:lang w:eastAsia="bg-BG"/>
        </w:rPr>
        <w:t xml:space="preserve"> на Съда на ЕС</w:t>
      </w:r>
      <w:r w:rsidRPr="006C05FC">
        <w:rPr>
          <w:rFonts w:eastAsia="Times New Roman"/>
          <w:bCs/>
          <w:sz w:val="24"/>
          <w:szCs w:val="24"/>
          <w:vertAlign w:val="superscript"/>
          <w:lang w:eastAsia="bg-BG"/>
        </w:rPr>
        <w:footnoteReference w:id="5"/>
      </w:r>
      <w:r w:rsidRPr="006C05FC">
        <w:rPr>
          <w:rFonts w:eastAsia="Times New Roman"/>
          <w:bCs/>
          <w:sz w:val="24"/>
          <w:szCs w:val="24"/>
          <w:lang w:eastAsia="bg-BG"/>
        </w:rPr>
        <w:t>.</w:t>
      </w:r>
    </w:p>
    <w:p w:rsidR="00E5656C" w:rsidRPr="006C05FC" w:rsidRDefault="00E5656C"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На 15 октомври 1999 г. С</w:t>
      </w:r>
      <w:r w:rsidR="00190BEC" w:rsidRPr="006C05FC">
        <w:rPr>
          <w:rFonts w:eastAsia="Times New Roman"/>
          <w:bCs/>
          <w:sz w:val="24"/>
          <w:szCs w:val="24"/>
          <w:lang w:eastAsia="bg-BG"/>
        </w:rPr>
        <w:t xml:space="preserve">ъветът за сигурност </w:t>
      </w:r>
      <w:r w:rsidRPr="006C05FC">
        <w:rPr>
          <w:rFonts w:eastAsia="Times New Roman"/>
          <w:bCs/>
          <w:sz w:val="24"/>
          <w:szCs w:val="24"/>
          <w:lang w:eastAsia="bg-BG"/>
        </w:rPr>
        <w:t>на ООН</w:t>
      </w:r>
      <w:r w:rsidR="00190BEC" w:rsidRPr="006C05FC">
        <w:rPr>
          <w:rFonts w:eastAsia="Times New Roman"/>
          <w:bCs/>
          <w:sz w:val="24"/>
          <w:szCs w:val="24"/>
          <w:lang w:eastAsia="bg-BG"/>
        </w:rPr>
        <w:t xml:space="preserve"> (СС)</w:t>
      </w:r>
      <w:r w:rsidRPr="006C05FC">
        <w:rPr>
          <w:rFonts w:eastAsia="Times New Roman"/>
          <w:bCs/>
          <w:sz w:val="24"/>
          <w:szCs w:val="24"/>
          <w:lang w:eastAsia="bg-BG"/>
        </w:rPr>
        <w:t xml:space="preserve"> приема рез. 1267 (1999), в която се предвижда, </w:t>
      </w:r>
      <w:r w:rsidRPr="006C05FC">
        <w:rPr>
          <w:rFonts w:eastAsia="Times New Roman"/>
          <w:bCs/>
          <w:i/>
          <w:sz w:val="24"/>
          <w:szCs w:val="24"/>
          <w:lang w:val="en-US" w:eastAsia="bg-BG"/>
        </w:rPr>
        <w:t>inter</w:t>
      </w:r>
      <w:r w:rsidRPr="006C05FC">
        <w:rPr>
          <w:rFonts w:eastAsia="Times New Roman"/>
          <w:bCs/>
          <w:i/>
          <w:sz w:val="24"/>
          <w:szCs w:val="24"/>
          <w:lang w:eastAsia="bg-BG"/>
        </w:rPr>
        <w:t xml:space="preserve"> </w:t>
      </w:r>
      <w:r w:rsidRPr="006C05FC">
        <w:rPr>
          <w:rFonts w:eastAsia="Times New Roman"/>
          <w:bCs/>
          <w:i/>
          <w:sz w:val="24"/>
          <w:szCs w:val="24"/>
          <w:lang w:val="en-US" w:eastAsia="bg-BG"/>
        </w:rPr>
        <w:t>alia</w:t>
      </w:r>
      <w:r w:rsidRPr="006C05FC">
        <w:rPr>
          <w:rFonts w:eastAsia="Times New Roman"/>
          <w:bCs/>
          <w:sz w:val="24"/>
          <w:szCs w:val="24"/>
          <w:lang w:eastAsia="bg-BG"/>
        </w:rPr>
        <w:t xml:space="preserve"> държавите да замразят средства и други парични ресурси, включително такива, произхождащи или получени от собственост, притежавана или контролирана пряко или непряко от Талибаните</w:t>
      </w:r>
      <w:r w:rsidR="00681595">
        <w:rPr>
          <w:rFonts w:eastAsia="Times New Roman"/>
          <w:bCs/>
          <w:sz w:val="24"/>
          <w:szCs w:val="24"/>
          <w:lang w:eastAsia="bg-BG"/>
        </w:rPr>
        <w:t xml:space="preserve"> </w:t>
      </w:r>
      <w:r w:rsidRPr="006C05FC">
        <w:rPr>
          <w:rFonts w:eastAsia="Times New Roman"/>
          <w:bCs/>
          <w:sz w:val="24"/>
          <w:szCs w:val="24"/>
          <w:lang w:eastAsia="bg-BG"/>
        </w:rPr>
        <w:t>или от предприятия, притежавани или под техен контрол.</w:t>
      </w:r>
    </w:p>
    <w:p w:rsidR="001C4295" w:rsidRDefault="00B729E5"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lastRenderedPageBreak/>
        <w:t>Общността (чийто правоприемник е ЕС</w:t>
      </w:r>
      <w:r w:rsidRPr="006C05FC">
        <w:rPr>
          <w:rFonts w:eastAsia="Times New Roman"/>
          <w:bCs/>
          <w:sz w:val="24"/>
          <w:szCs w:val="24"/>
          <w:vertAlign w:val="superscript"/>
          <w:lang w:eastAsia="bg-BG"/>
        </w:rPr>
        <w:footnoteReference w:id="6"/>
      </w:r>
      <w:r w:rsidRPr="006C05FC">
        <w:rPr>
          <w:rFonts w:eastAsia="Times New Roman"/>
          <w:bCs/>
          <w:sz w:val="24"/>
          <w:szCs w:val="24"/>
          <w:lang w:eastAsia="bg-BG"/>
        </w:rPr>
        <w:t>) взема предвид, че т</w:t>
      </w:r>
      <w:r w:rsidR="00681595">
        <w:rPr>
          <w:rFonts w:eastAsia="Times New Roman"/>
          <w:bCs/>
          <w:sz w:val="24"/>
          <w:szCs w:val="24"/>
          <w:lang w:eastAsia="bg-BG"/>
        </w:rPr>
        <w:t>рябва да осъществи резолюцията й</w:t>
      </w:r>
      <w:r w:rsidRPr="006C05FC">
        <w:rPr>
          <w:rFonts w:eastAsia="Times New Roman"/>
          <w:bCs/>
          <w:sz w:val="24"/>
          <w:szCs w:val="24"/>
          <w:lang w:eastAsia="bg-BG"/>
        </w:rPr>
        <w:t xml:space="preserve"> на 15 ноември 1999 г. </w:t>
      </w:r>
    </w:p>
    <w:p w:rsidR="00B729E5" w:rsidRPr="006C05FC" w:rsidRDefault="00B729E5"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Съветът приема Обща позиция 1999/727 CFSP (обща външна политика и политика на сигурност) относно ограничителните мерки спрямо Талибаните</w:t>
      </w:r>
      <w:r w:rsidRPr="006C05FC">
        <w:rPr>
          <w:rFonts w:eastAsia="Times New Roman"/>
          <w:bCs/>
          <w:sz w:val="24"/>
          <w:szCs w:val="24"/>
          <w:vertAlign w:val="superscript"/>
          <w:lang w:eastAsia="bg-BG"/>
        </w:rPr>
        <w:footnoteReference w:id="7"/>
      </w:r>
      <w:r w:rsidRPr="006C05FC">
        <w:rPr>
          <w:rFonts w:eastAsia="Times New Roman"/>
          <w:bCs/>
          <w:sz w:val="24"/>
          <w:szCs w:val="24"/>
          <w:lang w:eastAsia="bg-BG"/>
        </w:rPr>
        <w:t>.</w:t>
      </w:r>
    </w:p>
    <w:p w:rsidR="00B729E5" w:rsidRPr="006C05FC" w:rsidRDefault="00B729E5"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Решението на Общността/ЕС да се присъедини към борбата срещу тероризма на глобално ниво (в ООН) се материализира в актове на вторичното право на ЕС: регламенти. </w:t>
      </w:r>
      <w:r w:rsidR="00933BB8" w:rsidRPr="006C05FC">
        <w:rPr>
          <w:rFonts w:eastAsia="Times New Roman"/>
          <w:bCs/>
          <w:sz w:val="24"/>
          <w:szCs w:val="24"/>
          <w:lang w:eastAsia="bg-BG"/>
        </w:rPr>
        <w:t>Такива</w:t>
      </w:r>
      <w:r w:rsidRPr="006C05FC">
        <w:rPr>
          <w:rFonts w:eastAsia="Times New Roman"/>
          <w:bCs/>
          <w:sz w:val="24"/>
          <w:szCs w:val="24"/>
          <w:lang w:eastAsia="bg-BG"/>
        </w:rPr>
        <w:t xml:space="preserve"> са Регламент (ЕС) № 467/2001</w:t>
      </w:r>
      <w:r w:rsidR="0093529E">
        <w:rPr>
          <w:rFonts w:eastAsia="Times New Roman"/>
          <w:bCs/>
          <w:sz w:val="24"/>
          <w:szCs w:val="24"/>
          <w:lang w:eastAsia="bg-BG"/>
        </w:rPr>
        <w:t>,</w:t>
      </w:r>
      <w:r w:rsidRPr="006C05FC">
        <w:rPr>
          <w:rFonts w:eastAsia="Times New Roman"/>
          <w:bCs/>
          <w:sz w:val="24"/>
          <w:szCs w:val="24"/>
          <w:lang w:eastAsia="bg-BG"/>
        </w:rPr>
        <w:t xml:space="preserve"> забраняващ износа на някои стоки и услуги в Афганистан, засилване на забраната за полети и разширяване на замразяването на средства и други финансови ресурси за Талибаните в Афганистан</w:t>
      </w:r>
      <w:r w:rsidRPr="006C05FC">
        <w:rPr>
          <w:rFonts w:eastAsia="Times New Roman"/>
          <w:bCs/>
          <w:sz w:val="24"/>
          <w:szCs w:val="24"/>
          <w:vertAlign w:val="superscript"/>
          <w:lang w:eastAsia="bg-BG"/>
        </w:rPr>
        <w:footnoteReference w:id="8"/>
      </w:r>
      <w:r w:rsidRPr="006C05FC">
        <w:rPr>
          <w:rFonts w:eastAsia="Times New Roman"/>
          <w:bCs/>
          <w:sz w:val="24"/>
          <w:szCs w:val="24"/>
          <w:lang w:eastAsia="bg-BG"/>
        </w:rPr>
        <w:t>; Регламент на Комисията (ЕС) № 2199/2001 г. от 12 ноември 2001, изменящ Регламент № 467/2001</w:t>
      </w:r>
      <w:r w:rsidRPr="006C05FC">
        <w:rPr>
          <w:rFonts w:eastAsia="Times New Roman"/>
          <w:bCs/>
          <w:sz w:val="24"/>
          <w:szCs w:val="24"/>
          <w:vertAlign w:val="superscript"/>
          <w:lang w:eastAsia="bg-BG"/>
        </w:rPr>
        <w:footnoteReference w:id="9"/>
      </w:r>
      <w:r w:rsidRPr="006C05FC">
        <w:rPr>
          <w:rFonts w:eastAsia="Times New Roman"/>
          <w:bCs/>
          <w:sz w:val="24"/>
          <w:szCs w:val="24"/>
          <w:lang w:eastAsia="bg-BG"/>
        </w:rPr>
        <w:t>; Регламент (</w:t>
      </w:r>
      <w:r w:rsidRPr="006C05FC">
        <w:rPr>
          <w:rFonts w:eastAsia="Times New Roman"/>
          <w:bCs/>
          <w:sz w:val="24"/>
          <w:szCs w:val="24"/>
          <w:lang w:val="en-GB" w:eastAsia="bg-BG"/>
        </w:rPr>
        <w:t>EC</w:t>
      </w:r>
      <w:r w:rsidRPr="006C05FC">
        <w:rPr>
          <w:rFonts w:eastAsia="Times New Roman"/>
          <w:bCs/>
          <w:sz w:val="24"/>
          <w:szCs w:val="24"/>
          <w:lang w:eastAsia="bg-BG"/>
        </w:rPr>
        <w:t xml:space="preserve">) </w:t>
      </w:r>
      <w:r w:rsidRPr="006C05FC">
        <w:rPr>
          <w:rFonts w:eastAsia="Times New Roman"/>
          <w:bCs/>
          <w:sz w:val="24"/>
          <w:szCs w:val="24"/>
          <w:lang w:val="en-GB" w:eastAsia="bg-BG"/>
        </w:rPr>
        <w:t>No</w:t>
      </w:r>
      <w:r w:rsidRPr="006C05FC">
        <w:rPr>
          <w:rFonts w:eastAsia="Times New Roman"/>
          <w:bCs/>
          <w:sz w:val="24"/>
          <w:szCs w:val="24"/>
          <w:lang w:eastAsia="bg-BG"/>
        </w:rPr>
        <w:t xml:space="preserve"> 881/2002, налагащ някои специфични рестриктивни мерки насочени срещу физически и юридически лица, свърз</w:t>
      </w:r>
      <w:r w:rsidR="0093529E">
        <w:rPr>
          <w:rFonts w:eastAsia="Times New Roman"/>
          <w:bCs/>
          <w:sz w:val="24"/>
          <w:szCs w:val="24"/>
          <w:lang w:eastAsia="bg-BG"/>
        </w:rPr>
        <w:t>ани с Осама бин Ладен, мрежата А</w:t>
      </w:r>
      <w:r w:rsidR="00933BB8">
        <w:rPr>
          <w:rFonts w:eastAsia="Times New Roman"/>
          <w:bCs/>
          <w:sz w:val="24"/>
          <w:szCs w:val="24"/>
          <w:lang w:eastAsia="bg-BG"/>
        </w:rPr>
        <w:t xml:space="preserve">л Кайда и Талибаните, </w:t>
      </w:r>
      <w:r w:rsidRPr="006C05FC">
        <w:rPr>
          <w:rFonts w:eastAsia="Times New Roman"/>
          <w:bCs/>
          <w:sz w:val="24"/>
          <w:szCs w:val="24"/>
          <w:lang w:eastAsia="bg-BG"/>
        </w:rPr>
        <w:t>и отменящ Регламент (</w:t>
      </w:r>
      <w:r w:rsidRPr="006C05FC">
        <w:rPr>
          <w:rFonts w:eastAsia="Times New Roman"/>
          <w:bCs/>
          <w:sz w:val="24"/>
          <w:szCs w:val="24"/>
          <w:lang w:val="en-GB" w:eastAsia="bg-BG"/>
        </w:rPr>
        <w:t>EC</w:t>
      </w:r>
      <w:r w:rsidRPr="006C05FC">
        <w:rPr>
          <w:rFonts w:eastAsia="Times New Roman"/>
          <w:bCs/>
          <w:sz w:val="24"/>
          <w:szCs w:val="24"/>
          <w:lang w:eastAsia="bg-BG"/>
        </w:rPr>
        <w:t xml:space="preserve">) </w:t>
      </w:r>
      <w:r w:rsidRPr="006C05FC">
        <w:rPr>
          <w:rFonts w:eastAsia="Times New Roman"/>
          <w:bCs/>
          <w:sz w:val="24"/>
          <w:szCs w:val="24"/>
          <w:lang w:val="en-GB" w:eastAsia="bg-BG"/>
        </w:rPr>
        <w:t>No</w:t>
      </w:r>
      <w:r w:rsidRPr="006C05FC">
        <w:rPr>
          <w:rFonts w:eastAsia="Times New Roman"/>
          <w:bCs/>
          <w:sz w:val="24"/>
          <w:szCs w:val="24"/>
          <w:lang w:eastAsia="bg-BG"/>
        </w:rPr>
        <w:t xml:space="preserve"> 467/2001</w:t>
      </w:r>
      <w:r w:rsidRPr="006C05FC">
        <w:rPr>
          <w:rFonts w:eastAsia="Times New Roman"/>
          <w:bCs/>
          <w:sz w:val="24"/>
          <w:szCs w:val="24"/>
          <w:vertAlign w:val="superscript"/>
          <w:lang w:eastAsia="bg-BG"/>
        </w:rPr>
        <w:footnoteReference w:id="10"/>
      </w:r>
      <w:r w:rsidRPr="006C05FC">
        <w:rPr>
          <w:rFonts w:eastAsia="Times New Roman"/>
          <w:bCs/>
          <w:sz w:val="24"/>
          <w:szCs w:val="24"/>
          <w:lang w:eastAsia="bg-BG"/>
        </w:rPr>
        <w:t>. В Анекс към тях са възпроизведени списъците на физически и юридически лица, съдържащи се в резолюциите на Съвета за сигурност</w:t>
      </w:r>
      <w:r w:rsidR="00961220" w:rsidRPr="006C05FC">
        <w:rPr>
          <w:rFonts w:eastAsia="Times New Roman"/>
          <w:bCs/>
          <w:sz w:val="24"/>
          <w:szCs w:val="24"/>
          <w:lang w:eastAsia="bg-BG"/>
        </w:rPr>
        <w:t>/</w:t>
      </w:r>
      <w:r w:rsidR="00961220" w:rsidRPr="006C05FC">
        <w:rPr>
          <w:sz w:val="24"/>
          <w:szCs w:val="24"/>
        </w:rPr>
        <w:t xml:space="preserve"> </w:t>
      </w:r>
      <w:r w:rsidR="00961220" w:rsidRPr="006C05FC">
        <w:rPr>
          <w:rFonts w:eastAsia="Times New Roman"/>
          <w:bCs/>
          <w:sz w:val="24"/>
          <w:szCs w:val="24"/>
          <w:lang w:eastAsia="bg-BG"/>
        </w:rPr>
        <w:t>Комитета срещу Ал Кайда и Талибаните</w:t>
      </w:r>
      <w:r w:rsidRPr="006C05FC">
        <w:rPr>
          <w:rFonts w:eastAsia="Times New Roman"/>
          <w:bCs/>
          <w:sz w:val="24"/>
          <w:szCs w:val="24"/>
          <w:lang w:eastAsia="bg-BG"/>
        </w:rPr>
        <w:t>.</w:t>
      </w:r>
    </w:p>
    <w:p w:rsidR="00B729E5" w:rsidRPr="006C05FC" w:rsidRDefault="00B729E5"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Делото </w:t>
      </w:r>
      <w:r w:rsidRPr="006C05FC">
        <w:rPr>
          <w:rFonts w:eastAsia="Times New Roman"/>
          <w:bCs/>
          <w:i/>
          <w:sz w:val="24"/>
          <w:szCs w:val="24"/>
          <w:lang w:eastAsia="bg-BG"/>
        </w:rPr>
        <w:t>Ахмед Али Юсуф/Ал Баракаат</w:t>
      </w:r>
      <w:r w:rsidR="002E3B38" w:rsidRPr="006C05FC">
        <w:rPr>
          <w:rFonts w:eastAsia="Times New Roman"/>
          <w:bCs/>
          <w:i/>
          <w:sz w:val="24"/>
          <w:szCs w:val="24"/>
          <w:lang w:eastAsia="bg-BG"/>
        </w:rPr>
        <w:t xml:space="preserve"> </w:t>
      </w:r>
      <w:r w:rsidR="002E3B38" w:rsidRPr="006C05FC">
        <w:rPr>
          <w:rFonts w:eastAsia="Times New Roman"/>
          <w:bCs/>
          <w:sz w:val="24"/>
          <w:szCs w:val="24"/>
          <w:lang w:eastAsia="bg-BG"/>
        </w:rPr>
        <w:t xml:space="preserve">е заведено от следните юридически и физически лица: Международната фондация Баракаат, със седалище в Шпанга, Стокхолм, Швеция; Аден Абдирисак; Али Абди Абдулазис; Али Юсуф  Ахмед, (и тримата живущи в Шпанга, Стокхолм, Швеция), включени в списъка </w:t>
      </w:r>
      <w:r w:rsidR="00F1472D" w:rsidRPr="006C05FC">
        <w:rPr>
          <w:rFonts w:eastAsia="Times New Roman"/>
          <w:bCs/>
          <w:sz w:val="24"/>
          <w:szCs w:val="24"/>
          <w:lang w:eastAsia="bg-BG"/>
        </w:rPr>
        <w:t xml:space="preserve">на </w:t>
      </w:r>
      <w:r w:rsidR="0093529E">
        <w:rPr>
          <w:rFonts w:eastAsia="Times New Roman"/>
          <w:bCs/>
          <w:sz w:val="24"/>
          <w:szCs w:val="24"/>
          <w:lang w:eastAsia="bg-BG"/>
        </w:rPr>
        <w:t>Комитета</w:t>
      </w:r>
      <w:r w:rsidR="002E3B38" w:rsidRPr="006C05FC">
        <w:rPr>
          <w:rFonts w:eastAsia="Times New Roman"/>
          <w:bCs/>
          <w:sz w:val="24"/>
          <w:szCs w:val="24"/>
          <w:lang w:eastAsia="bg-BG"/>
        </w:rPr>
        <w:t xml:space="preserve"> по санкциите, съответно възпроизведени в анекса към посочените по-горе регламенти. С искова молба, подадена в регистъра на Първоинстанционния съд (Общия съд след влизане в сила на Лисабонския договор на 1 декември 2009 г.) на 10 декември 2001 г., те претендират анулиране на Регламент № 2199/2001 и на Регламент № 467/2001</w:t>
      </w:r>
      <w:r w:rsidR="002E3B38" w:rsidRPr="006C05FC">
        <w:rPr>
          <w:rStyle w:val="FootnoteReference"/>
          <w:rFonts w:eastAsia="Times New Roman"/>
          <w:bCs/>
          <w:sz w:val="24"/>
          <w:szCs w:val="24"/>
          <w:lang w:eastAsia="bg-BG"/>
        </w:rPr>
        <w:footnoteReference w:id="11"/>
      </w:r>
      <w:r w:rsidR="002E3B38" w:rsidRPr="006C05FC">
        <w:rPr>
          <w:rFonts w:eastAsia="Times New Roman"/>
          <w:bCs/>
          <w:sz w:val="24"/>
          <w:szCs w:val="24"/>
          <w:lang w:eastAsia="bg-BG"/>
        </w:rPr>
        <w:t>.</w:t>
      </w:r>
    </w:p>
    <w:p w:rsidR="00933BB8" w:rsidRDefault="00933BB8" w:rsidP="00933BB8">
      <w:pPr>
        <w:autoSpaceDE w:val="0"/>
        <w:autoSpaceDN w:val="0"/>
        <w:spacing w:after="0" w:line="360" w:lineRule="auto"/>
        <w:jc w:val="both"/>
        <w:rPr>
          <w:rFonts w:eastAsia="Times New Roman"/>
          <w:bCs/>
          <w:sz w:val="24"/>
          <w:szCs w:val="24"/>
          <w:lang w:eastAsia="bg-BG"/>
        </w:rPr>
      </w:pPr>
    </w:p>
    <w:p w:rsidR="007F249A" w:rsidRDefault="002E3B38" w:rsidP="00933BB8">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Жалбоподателите привеждат няколко основания за техния иск. </w:t>
      </w:r>
    </w:p>
    <w:p w:rsidR="002E3B38" w:rsidRPr="006C05FC" w:rsidRDefault="002E3B38" w:rsidP="00933BB8">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lastRenderedPageBreak/>
        <w:t xml:space="preserve">Първото е, че Съветът не е компетентен да приеме контестирания регламент, вторият, че е налице нарушение на чл. 249 </w:t>
      </w:r>
      <w:r w:rsidR="00961220" w:rsidRPr="006C05FC">
        <w:rPr>
          <w:rFonts w:eastAsia="Times New Roman"/>
          <w:bCs/>
          <w:sz w:val="24"/>
          <w:szCs w:val="24"/>
          <w:lang w:eastAsia="bg-BG"/>
        </w:rPr>
        <w:t>Договора за Европейска общност (</w:t>
      </w:r>
      <w:r w:rsidRPr="006C05FC">
        <w:rPr>
          <w:rFonts w:eastAsia="Times New Roman"/>
          <w:bCs/>
          <w:sz w:val="24"/>
          <w:szCs w:val="24"/>
          <w:lang w:eastAsia="bg-BG"/>
        </w:rPr>
        <w:t>ДЕО</w:t>
      </w:r>
      <w:r w:rsidR="00961220" w:rsidRPr="006C05FC">
        <w:rPr>
          <w:rFonts w:eastAsia="Times New Roman"/>
          <w:bCs/>
          <w:sz w:val="24"/>
          <w:szCs w:val="24"/>
          <w:lang w:eastAsia="bg-BG"/>
        </w:rPr>
        <w:t>)</w:t>
      </w:r>
      <w:r w:rsidRPr="006C05FC">
        <w:rPr>
          <w:rFonts w:eastAsia="Times New Roman"/>
          <w:bCs/>
          <w:sz w:val="24"/>
          <w:szCs w:val="24"/>
          <w:lang w:eastAsia="bg-BG"/>
        </w:rPr>
        <w:t xml:space="preserve"> и третият, че е налице нарушение на техните основни права на човека, в частност правото на собственост  и правото на справедлив процес, гарантирано от чл. 6 от </w:t>
      </w:r>
      <w:r w:rsidR="00961220" w:rsidRPr="006C05FC">
        <w:rPr>
          <w:rFonts w:eastAsia="Times New Roman"/>
          <w:bCs/>
          <w:sz w:val="24"/>
          <w:szCs w:val="24"/>
          <w:lang w:eastAsia="bg-BG"/>
        </w:rPr>
        <w:t>Европейската конвенция за правата на човека и основните свободи  (</w:t>
      </w:r>
      <w:r w:rsidRPr="006C05FC">
        <w:rPr>
          <w:rFonts w:eastAsia="Times New Roman"/>
          <w:bCs/>
          <w:sz w:val="24"/>
          <w:szCs w:val="24"/>
          <w:lang w:eastAsia="bg-BG"/>
        </w:rPr>
        <w:t>ЕКПЧ</w:t>
      </w:r>
      <w:r w:rsidR="00961220" w:rsidRPr="006C05FC">
        <w:rPr>
          <w:rFonts w:eastAsia="Times New Roman"/>
          <w:bCs/>
          <w:sz w:val="24"/>
          <w:szCs w:val="24"/>
          <w:lang w:eastAsia="bg-BG"/>
        </w:rPr>
        <w:t>)</w:t>
      </w:r>
      <w:r w:rsidRPr="006C05FC">
        <w:rPr>
          <w:rFonts w:eastAsia="Times New Roman"/>
          <w:bCs/>
          <w:sz w:val="24"/>
          <w:szCs w:val="24"/>
          <w:lang w:eastAsia="bg-BG"/>
        </w:rPr>
        <w:t>.</w:t>
      </w:r>
    </w:p>
    <w:p w:rsidR="00EC6E02" w:rsidRPr="006C05FC" w:rsidRDefault="00933BB8" w:rsidP="00341969">
      <w:pPr>
        <w:autoSpaceDE w:val="0"/>
        <w:autoSpaceDN w:val="0"/>
        <w:spacing w:after="0" w:line="360" w:lineRule="auto"/>
        <w:ind w:firstLine="708"/>
        <w:jc w:val="both"/>
        <w:rPr>
          <w:rFonts w:eastAsia="Times New Roman"/>
          <w:bCs/>
          <w:sz w:val="24"/>
          <w:szCs w:val="24"/>
          <w:lang w:eastAsia="bg-BG"/>
        </w:rPr>
      </w:pPr>
      <w:r>
        <w:rPr>
          <w:rFonts w:eastAsia="Times New Roman"/>
          <w:bCs/>
          <w:sz w:val="24"/>
          <w:szCs w:val="24"/>
          <w:lang w:eastAsia="bg-BG"/>
        </w:rPr>
        <w:t xml:space="preserve">В Решението </w:t>
      </w:r>
      <w:r w:rsidR="00961220" w:rsidRPr="006C05FC">
        <w:rPr>
          <w:rFonts w:eastAsia="Times New Roman"/>
          <w:bCs/>
          <w:sz w:val="24"/>
          <w:szCs w:val="24"/>
          <w:lang w:eastAsia="bg-BG"/>
        </w:rPr>
        <w:t xml:space="preserve">по делото ПИС/Общият съд </w:t>
      </w:r>
      <w:r w:rsidR="00EC6E02" w:rsidRPr="006C05FC">
        <w:rPr>
          <w:rFonts w:eastAsia="Times New Roman"/>
          <w:bCs/>
          <w:sz w:val="24"/>
          <w:szCs w:val="24"/>
          <w:lang w:eastAsia="bg-BG"/>
        </w:rPr>
        <w:t>аргументира, че</w:t>
      </w:r>
      <w:r w:rsidR="00961220" w:rsidRPr="006C05FC">
        <w:rPr>
          <w:rFonts w:eastAsia="Times New Roman"/>
          <w:bCs/>
          <w:sz w:val="24"/>
          <w:szCs w:val="24"/>
          <w:lang w:eastAsia="bg-BG"/>
        </w:rPr>
        <w:t xml:space="preserve"> няма власт, дори непряко да проверява законност</w:t>
      </w:r>
      <w:r w:rsidR="00EC6E02" w:rsidRPr="006C05FC">
        <w:rPr>
          <w:rFonts w:eastAsia="Times New Roman"/>
          <w:bCs/>
          <w:sz w:val="24"/>
          <w:szCs w:val="24"/>
          <w:lang w:eastAsia="bg-BG"/>
        </w:rPr>
        <w:t>та на резолюциите на Съвета за сигурност на ООН</w:t>
      </w:r>
      <w:r w:rsidR="00961220" w:rsidRPr="006C05FC">
        <w:rPr>
          <w:rFonts w:eastAsia="Times New Roman"/>
          <w:bCs/>
          <w:sz w:val="24"/>
          <w:szCs w:val="24"/>
          <w:lang w:eastAsia="bg-BG"/>
        </w:rPr>
        <w:t xml:space="preserve"> в светлината на Общностното право.</w:t>
      </w:r>
      <w:r w:rsidR="00EC6E02" w:rsidRPr="006C05FC">
        <w:rPr>
          <w:rFonts w:eastAsia="Times New Roman"/>
          <w:bCs/>
          <w:sz w:val="24"/>
          <w:szCs w:val="24"/>
          <w:lang w:eastAsia="bg-BG"/>
        </w:rPr>
        <w:t xml:space="preserve"> Той отказва преглед на контестирания регламент.</w:t>
      </w:r>
      <w:r w:rsidR="00EC6E02" w:rsidRPr="006C05FC">
        <w:rPr>
          <w:rFonts w:eastAsia="Calibri"/>
          <w:sz w:val="24"/>
          <w:szCs w:val="24"/>
        </w:rPr>
        <w:t xml:space="preserve"> Твърдените </w:t>
      </w:r>
      <w:r w:rsidR="00EC6E02" w:rsidRPr="006C05FC">
        <w:rPr>
          <w:rFonts w:eastAsia="Times New Roman"/>
          <w:bCs/>
          <w:sz w:val="24"/>
          <w:szCs w:val="24"/>
          <w:lang w:eastAsia="bg-BG"/>
        </w:rPr>
        <w:t>нарушаване на правото на собственост, на правото ищците да бъдат изслушани и на правото на ефикасно средство за  защита са отхвърлени от ПИС/Общия съд.</w:t>
      </w:r>
    </w:p>
    <w:p w:rsidR="00F94202" w:rsidRPr="006C05FC" w:rsidRDefault="008F2B74"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И</w:t>
      </w:r>
      <w:r w:rsidR="00F94202" w:rsidRPr="006C05FC">
        <w:rPr>
          <w:rFonts w:eastAsia="Times New Roman"/>
          <w:bCs/>
          <w:sz w:val="24"/>
          <w:szCs w:val="24"/>
          <w:lang w:eastAsia="bg-BG"/>
        </w:rPr>
        <w:t>зводи</w:t>
      </w:r>
      <w:r w:rsidRPr="006C05FC">
        <w:rPr>
          <w:rFonts w:eastAsia="Times New Roman"/>
          <w:bCs/>
          <w:sz w:val="24"/>
          <w:szCs w:val="24"/>
          <w:lang w:eastAsia="bg-BG"/>
        </w:rPr>
        <w:t xml:space="preserve">те, които </w:t>
      </w:r>
      <w:r w:rsidR="00F94202" w:rsidRPr="006C05FC">
        <w:rPr>
          <w:rFonts w:eastAsia="Times New Roman"/>
          <w:bCs/>
          <w:sz w:val="24"/>
          <w:szCs w:val="24"/>
          <w:lang w:eastAsia="bg-BG"/>
        </w:rPr>
        <w:t xml:space="preserve">могат да се направят за </w:t>
      </w:r>
      <w:r w:rsidR="00933BB8" w:rsidRPr="006C05FC">
        <w:rPr>
          <w:rFonts w:eastAsia="Times New Roman"/>
          <w:bCs/>
          <w:sz w:val="24"/>
          <w:szCs w:val="24"/>
          <w:lang w:eastAsia="bg-BG"/>
        </w:rPr>
        <w:t>съотношението</w:t>
      </w:r>
      <w:r w:rsidR="00F94202" w:rsidRPr="006C05FC">
        <w:rPr>
          <w:rFonts w:eastAsia="Times New Roman"/>
          <w:bCs/>
          <w:sz w:val="24"/>
          <w:szCs w:val="24"/>
          <w:lang w:eastAsia="bg-BG"/>
        </w:rPr>
        <w:t xml:space="preserve"> между международното публично право и правото на ЕС от това решение</w:t>
      </w:r>
      <w:r w:rsidRPr="006C05FC">
        <w:rPr>
          <w:rFonts w:eastAsia="Times New Roman"/>
          <w:bCs/>
          <w:sz w:val="24"/>
          <w:szCs w:val="24"/>
          <w:lang w:eastAsia="bg-BG"/>
        </w:rPr>
        <w:t>, по мое мнение са следните.</w:t>
      </w:r>
    </w:p>
    <w:p w:rsidR="00F94202" w:rsidRPr="006C05FC" w:rsidRDefault="00F94202"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Както вече посочих, решението ЕС да прилага санкциите на Комитета срещу Ал Кайда и Талибаните е основано на обща позиция на държавите-членки. Тя е инструмент на съществуващата към онзи момент </w:t>
      </w:r>
      <w:r w:rsidRPr="00933BB8">
        <w:rPr>
          <w:rFonts w:eastAsia="Times New Roman"/>
          <w:bCs/>
          <w:i/>
          <w:sz w:val="24"/>
          <w:szCs w:val="24"/>
          <w:lang w:eastAsia="bg-BG"/>
        </w:rPr>
        <w:t>„стълбова”</w:t>
      </w:r>
      <w:r w:rsidRPr="006C05FC">
        <w:rPr>
          <w:rFonts w:eastAsia="Times New Roman"/>
          <w:bCs/>
          <w:sz w:val="24"/>
          <w:szCs w:val="24"/>
          <w:lang w:eastAsia="bg-BG"/>
        </w:rPr>
        <w:t xml:space="preserve"> архитектура на ЕС, по-специално използван във </w:t>
      </w:r>
      <w:r w:rsidRPr="00933BB8">
        <w:rPr>
          <w:rFonts w:eastAsia="Times New Roman"/>
          <w:bCs/>
          <w:i/>
          <w:sz w:val="24"/>
          <w:szCs w:val="24"/>
          <w:lang w:eastAsia="bg-BG"/>
        </w:rPr>
        <w:t>„Втория стълб”</w:t>
      </w:r>
      <w:r w:rsidRPr="006C05FC">
        <w:rPr>
          <w:rFonts w:eastAsia="Times New Roman"/>
          <w:bCs/>
          <w:sz w:val="24"/>
          <w:szCs w:val="24"/>
          <w:lang w:eastAsia="bg-BG"/>
        </w:rPr>
        <w:t>: общата външна политика и политика на сигурност. Формалноправно в момента на приемането на Регламент (ЕС) № 337/2000 ЕС няма юридическо лице съгласно ДЕС от Маастрихт</w:t>
      </w:r>
      <w:r w:rsidRPr="006C05FC">
        <w:rPr>
          <w:rFonts w:eastAsia="Times New Roman"/>
          <w:bCs/>
          <w:sz w:val="24"/>
          <w:szCs w:val="24"/>
          <w:vertAlign w:val="superscript"/>
          <w:lang w:eastAsia="bg-BG"/>
        </w:rPr>
        <w:footnoteReference w:id="12"/>
      </w:r>
      <w:r w:rsidRPr="006C05FC">
        <w:rPr>
          <w:rFonts w:eastAsia="Times New Roman"/>
          <w:bCs/>
          <w:sz w:val="24"/>
          <w:szCs w:val="24"/>
          <w:lang w:eastAsia="bg-BG"/>
        </w:rPr>
        <w:t xml:space="preserve">. Главното основание за това твърдение е липсата на изрична норма в първичното право. До влизане в сила на Договора от Лисабон някои автори подкрепяха тезата, че ЕС е </w:t>
      </w:r>
      <w:r w:rsidRPr="006C05FC">
        <w:rPr>
          <w:rFonts w:eastAsia="Times New Roman"/>
          <w:bCs/>
          <w:i/>
          <w:sz w:val="24"/>
          <w:szCs w:val="24"/>
          <w:lang w:eastAsia="bg-BG"/>
        </w:rPr>
        <w:t xml:space="preserve">de facto </w:t>
      </w:r>
      <w:r w:rsidRPr="006C05FC">
        <w:rPr>
          <w:rFonts w:eastAsia="Times New Roman"/>
          <w:bCs/>
          <w:sz w:val="24"/>
          <w:szCs w:val="24"/>
          <w:lang w:eastAsia="bg-BG"/>
        </w:rPr>
        <w:t>субект на международното право</w:t>
      </w:r>
      <w:r w:rsidR="00EC6E02" w:rsidRPr="006C05FC">
        <w:rPr>
          <w:rStyle w:val="FootnoteReference"/>
          <w:rFonts w:eastAsia="Times New Roman"/>
          <w:bCs/>
          <w:sz w:val="24"/>
          <w:szCs w:val="24"/>
          <w:lang w:eastAsia="bg-BG"/>
        </w:rPr>
        <w:footnoteReference w:id="13"/>
      </w:r>
      <w:r w:rsidRPr="006C05FC">
        <w:rPr>
          <w:rFonts w:eastAsia="Times New Roman"/>
          <w:bCs/>
          <w:sz w:val="24"/>
          <w:szCs w:val="24"/>
          <w:lang w:eastAsia="bg-BG"/>
        </w:rPr>
        <w:t xml:space="preserve">. В тази насока Жасмин Попова  сочи, че </w:t>
      </w:r>
      <w:r w:rsidRPr="0093529E">
        <w:rPr>
          <w:rFonts w:eastAsia="Times New Roman"/>
          <w:bCs/>
          <w:i/>
          <w:sz w:val="24"/>
          <w:szCs w:val="24"/>
          <w:lang w:eastAsia="bg-BG"/>
        </w:rPr>
        <w:t>„Многобройни са случаите, в които на практика Съюзът действа като самостоятелен субект на международното право, като отделни текстове на първичното право му предоставят необходимите за това средства”</w:t>
      </w:r>
      <w:r w:rsidR="00EC6E02" w:rsidRPr="006C05FC">
        <w:rPr>
          <w:rStyle w:val="FootnoteReference"/>
          <w:rFonts w:eastAsia="Times New Roman"/>
          <w:bCs/>
          <w:sz w:val="24"/>
          <w:szCs w:val="24"/>
          <w:lang w:eastAsia="bg-BG"/>
        </w:rPr>
        <w:footnoteReference w:id="14"/>
      </w:r>
      <w:r w:rsidRPr="006C05FC">
        <w:rPr>
          <w:rFonts w:eastAsia="Times New Roman"/>
          <w:bCs/>
          <w:sz w:val="24"/>
          <w:szCs w:val="24"/>
          <w:lang w:eastAsia="bg-BG"/>
        </w:rPr>
        <w:t>. Международноправният анализ води към извод, че ЕС в онзи исторически момент няма международно задължение да прилага санкциите, предвидени от рез. 1267 (1999) на Съвета за сигурност на ООН. Решението, по мое мнение, е политическо, прието по клас</w:t>
      </w:r>
      <w:r w:rsidR="006351A5" w:rsidRPr="006C05FC">
        <w:rPr>
          <w:rFonts w:eastAsia="Times New Roman"/>
          <w:bCs/>
          <w:sz w:val="24"/>
          <w:szCs w:val="24"/>
          <w:lang w:eastAsia="bg-BG"/>
        </w:rPr>
        <w:t xml:space="preserve">ическия </w:t>
      </w:r>
      <w:r w:rsidR="00007D65">
        <w:rPr>
          <w:rFonts w:eastAsia="Times New Roman"/>
          <w:bCs/>
          <w:sz w:val="24"/>
          <w:szCs w:val="24"/>
          <w:lang w:eastAsia="bg-BG"/>
        </w:rPr>
        <w:t xml:space="preserve">способ за постигане на междуправителствен консенсус </w:t>
      </w:r>
      <w:r w:rsidRPr="006C05FC">
        <w:rPr>
          <w:rFonts w:eastAsia="Times New Roman"/>
          <w:bCs/>
          <w:sz w:val="24"/>
          <w:szCs w:val="24"/>
          <w:lang w:eastAsia="bg-BG"/>
        </w:rPr>
        <w:t>и материализирано в обща позиция.</w:t>
      </w:r>
      <w:r w:rsidR="008F2B74" w:rsidRPr="006C05FC">
        <w:rPr>
          <w:rFonts w:eastAsia="Times New Roman"/>
          <w:bCs/>
          <w:sz w:val="24"/>
          <w:szCs w:val="24"/>
          <w:lang w:eastAsia="bg-BG"/>
        </w:rPr>
        <w:t xml:space="preserve"> Следователно използваният </w:t>
      </w:r>
      <w:r w:rsidR="00933BB8" w:rsidRPr="006C05FC">
        <w:rPr>
          <w:rFonts w:eastAsia="Times New Roman"/>
          <w:bCs/>
          <w:sz w:val="24"/>
          <w:szCs w:val="24"/>
          <w:lang w:eastAsia="bg-BG"/>
        </w:rPr>
        <w:t>инструментариум</w:t>
      </w:r>
      <w:r w:rsidR="008F2B74" w:rsidRPr="006C05FC">
        <w:rPr>
          <w:rFonts w:eastAsia="Times New Roman"/>
          <w:bCs/>
          <w:sz w:val="24"/>
          <w:szCs w:val="24"/>
          <w:lang w:eastAsia="bg-BG"/>
        </w:rPr>
        <w:t>, макар и в рамките на общностното право</w:t>
      </w:r>
      <w:r w:rsidR="00554EA2" w:rsidRPr="006C05FC">
        <w:rPr>
          <w:rFonts w:eastAsia="Times New Roman"/>
          <w:bCs/>
          <w:sz w:val="24"/>
          <w:szCs w:val="24"/>
          <w:lang w:eastAsia="bg-BG"/>
        </w:rPr>
        <w:t>,</w:t>
      </w:r>
      <w:r w:rsidR="008F2B74" w:rsidRPr="006C05FC">
        <w:rPr>
          <w:rFonts w:eastAsia="Times New Roman"/>
          <w:bCs/>
          <w:sz w:val="24"/>
          <w:szCs w:val="24"/>
          <w:lang w:eastAsia="bg-BG"/>
        </w:rPr>
        <w:t xml:space="preserve"> е международноправен.</w:t>
      </w:r>
      <w:r w:rsidRPr="006C05FC">
        <w:rPr>
          <w:rFonts w:eastAsia="Times New Roman"/>
          <w:bCs/>
          <w:sz w:val="24"/>
          <w:szCs w:val="24"/>
          <w:lang w:eastAsia="bg-BG"/>
        </w:rPr>
        <w:t xml:space="preserve"> Тази теза се доказва от аргументацията на ПИС по казуса.</w:t>
      </w:r>
    </w:p>
    <w:p w:rsidR="00F94202" w:rsidRPr="006C05FC" w:rsidRDefault="00F94202"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lastRenderedPageBreak/>
        <w:t>За да обоснове тази формалноправна липса</w:t>
      </w:r>
      <w:r w:rsidR="00007D65">
        <w:rPr>
          <w:rFonts w:eastAsia="Times New Roman"/>
          <w:bCs/>
          <w:sz w:val="24"/>
          <w:szCs w:val="24"/>
          <w:lang w:eastAsia="bg-BG"/>
        </w:rPr>
        <w:t xml:space="preserve"> на задължителност за спазване </w:t>
      </w:r>
      <w:r w:rsidRPr="006C05FC">
        <w:rPr>
          <w:rFonts w:eastAsia="Times New Roman"/>
          <w:bCs/>
          <w:sz w:val="24"/>
          <w:szCs w:val="24"/>
          <w:lang w:eastAsia="bg-BG"/>
        </w:rPr>
        <w:t xml:space="preserve">и прилагане на резолюциите на СС в  решението по делото </w:t>
      </w:r>
      <w:r w:rsidRPr="006C05FC">
        <w:rPr>
          <w:rFonts w:eastAsia="Times New Roman"/>
          <w:bCs/>
          <w:i/>
          <w:sz w:val="24"/>
          <w:szCs w:val="24"/>
          <w:lang w:eastAsia="bg-BG"/>
        </w:rPr>
        <w:t>Ахмед Али Юсуф/Ал Баракаат</w:t>
      </w:r>
      <w:r w:rsidRPr="006C05FC">
        <w:rPr>
          <w:rFonts w:eastAsia="Times New Roman"/>
          <w:bCs/>
          <w:sz w:val="24"/>
          <w:szCs w:val="24"/>
          <w:lang w:eastAsia="bg-BG"/>
        </w:rPr>
        <w:t xml:space="preserve"> ПИС/Общият съд се позовава на няколко аргумента. Първият от тях е, че всички държави-членки на ЕС са членки и на ООН и е налице релевантна практика</w:t>
      </w:r>
      <w:r w:rsidRPr="006C05FC">
        <w:rPr>
          <w:rFonts w:eastAsia="Times New Roman"/>
          <w:bCs/>
          <w:sz w:val="24"/>
          <w:szCs w:val="24"/>
          <w:vertAlign w:val="superscript"/>
          <w:lang w:eastAsia="bg-BG"/>
        </w:rPr>
        <w:footnoteReference w:id="15"/>
      </w:r>
      <w:r w:rsidRPr="006C05FC">
        <w:rPr>
          <w:rFonts w:eastAsia="Times New Roman"/>
          <w:bCs/>
          <w:sz w:val="24"/>
          <w:szCs w:val="24"/>
          <w:lang w:eastAsia="bg-BG"/>
        </w:rPr>
        <w:t xml:space="preserve">. </w:t>
      </w:r>
      <w:r w:rsidRPr="0093529E">
        <w:rPr>
          <w:rFonts w:eastAsia="Times New Roman"/>
          <w:bCs/>
          <w:i/>
          <w:sz w:val="24"/>
          <w:szCs w:val="24"/>
          <w:lang w:eastAsia="bg-BG"/>
        </w:rPr>
        <w:t>„При все това, Общността трябва да се счита за обвързана от задълженията по Устава на ООН по същия начин както държавите-членки, по силата на Договора, който я установява“</w:t>
      </w:r>
      <w:r w:rsidRPr="006C05FC">
        <w:rPr>
          <w:rFonts w:eastAsia="Times New Roman"/>
          <w:bCs/>
          <w:sz w:val="24"/>
          <w:szCs w:val="24"/>
          <w:lang w:eastAsia="bg-BG"/>
        </w:rPr>
        <w:t xml:space="preserve"> (§ 253). Следователно ПИС/Общият съд прибягва до теорията на предоставената компетентност. Вторият аргумент черпи от аналогия със задълженията  по ГАТТ</w:t>
      </w:r>
      <w:r w:rsidR="00554EA2" w:rsidRPr="006C05FC">
        <w:rPr>
          <w:rFonts w:eastAsia="Times New Roman"/>
          <w:bCs/>
          <w:sz w:val="24"/>
          <w:szCs w:val="24"/>
          <w:lang w:eastAsia="bg-BG"/>
        </w:rPr>
        <w:t xml:space="preserve"> (Общото споразумение за митата и търговията)</w:t>
      </w:r>
      <w:r w:rsidRPr="006C05FC">
        <w:rPr>
          <w:rFonts w:eastAsia="Times New Roman"/>
          <w:bCs/>
          <w:sz w:val="24"/>
          <w:szCs w:val="24"/>
          <w:lang w:eastAsia="bg-BG"/>
        </w:rPr>
        <w:t xml:space="preserve"> (§ 243), но </w:t>
      </w:r>
      <w:r w:rsidRPr="0093529E">
        <w:rPr>
          <w:rFonts w:eastAsia="Times New Roman"/>
          <w:bCs/>
          <w:i/>
          <w:sz w:val="24"/>
          <w:szCs w:val="24"/>
          <w:lang w:eastAsia="bg-BG"/>
        </w:rPr>
        <w:t>„...случаят с ГАТТ...вече има само историческо значение, тъй като ЕО е член на СТО“</w:t>
      </w:r>
      <w:r w:rsidR="00EC6E02" w:rsidRPr="006C05FC">
        <w:rPr>
          <w:rStyle w:val="FootnoteReference"/>
          <w:rFonts w:eastAsia="Times New Roman"/>
          <w:bCs/>
          <w:sz w:val="24"/>
          <w:szCs w:val="24"/>
          <w:lang w:eastAsia="bg-BG"/>
        </w:rPr>
        <w:footnoteReference w:id="16"/>
      </w:r>
      <w:r w:rsidRPr="006C05FC">
        <w:rPr>
          <w:rFonts w:eastAsia="Times New Roman"/>
          <w:bCs/>
          <w:sz w:val="24"/>
          <w:szCs w:val="24"/>
          <w:lang w:eastAsia="bg-BG"/>
        </w:rPr>
        <w:t>. На трето място се обосновава, че съблюдаването на резолюциите на СС не произтича от общото международно право, а черпи легитимност по силата на правото на ЕС</w:t>
      </w:r>
      <w:r w:rsidRPr="006C05FC">
        <w:rPr>
          <w:rFonts w:eastAsia="Times New Roman"/>
          <w:bCs/>
          <w:sz w:val="24"/>
          <w:szCs w:val="24"/>
          <w:vertAlign w:val="superscript"/>
          <w:lang w:eastAsia="bg-BG"/>
        </w:rPr>
        <w:footnoteReference w:id="17"/>
      </w:r>
      <w:r w:rsidRPr="006C05FC">
        <w:rPr>
          <w:rFonts w:eastAsia="Times New Roman"/>
          <w:bCs/>
          <w:sz w:val="24"/>
          <w:szCs w:val="24"/>
          <w:lang w:eastAsia="bg-BG"/>
        </w:rPr>
        <w:t xml:space="preserve">. В този ред на разсъждения не мога да </w:t>
      </w:r>
      <w:r w:rsidR="00933BB8" w:rsidRPr="006C05FC">
        <w:rPr>
          <w:rFonts w:eastAsia="Times New Roman"/>
          <w:bCs/>
          <w:sz w:val="24"/>
          <w:szCs w:val="24"/>
          <w:lang w:eastAsia="bg-BG"/>
        </w:rPr>
        <w:t>подкрепя</w:t>
      </w:r>
      <w:r w:rsidRPr="006C05FC">
        <w:rPr>
          <w:rFonts w:eastAsia="Times New Roman"/>
          <w:bCs/>
          <w:sz w:val="24"/>
          <w:szCs w:val="24"/>
          <w:lang w:eastAsia="bg-BG"/>
        </w:rPr>
        <w:t xml:space="preserve"> твърдението на някои автори, че с това решение ПИС отхвърля аргументите на ищците, че Общностния</w:t>
      </w:r>
      <w:r w:rsidR="0093529E">
        <w:rPr>
          <w:rFonts w:eastAsia="Times New Roman"/>
          <w:bCs/>
          <w:sz w:val="24"/>
          <w:szCs w:val="24"/>
          <w:lang w:eastAsia="bg-BG"/>
        </w:rPr>
        <w:t>т</w:t>
      </w:r>
      <w:r w:rsidRPr="006C05FC">
        <w:rPr>
          <w:rFonts w:eastAsia="Times New Roman"/>
          <w:bCs/>
          <w:sz w:val="24"/>
          <w:szCs w:val="24"/>
          <w:lang w:eastAsia="bg-BG"/>
        </w:rPr>
        <w:t xml:space="preserve"> правен ред е автономен от международния</w:t>
      </w:r>
      <w:r w:rsidRPr="006C05FC">
        <w:rPr>
          <w:rFonts w:eastAsia="Times New Roman"/>
          <w:bCs/>
          <w:sz w:val="24"/>
          <w:szCs w:val="24"/>
          <w:vertAlign w:val="superscript"/>
          <w:lang w:eastAsia="bg-BG"/>
        </w:rPr>
        <w:footnoteReference w:id="18"/>
      </w:r>
      <w:r w:rsidRPr="006C05FC">
        <w:rPr>
          <w:rFonts w:eastAsia="Times New Roman"/>
          <w:bCs/>
          <w:sz w:val="24"/>
          <w:szCs w:val="24"/>
          <w:lang w:eastAsia="bg-BG"/>
        </w:rPr>
        <w:t>. Внимателният анализ на логиката на съда сочи обратното: търсене на правната легитимност за прилагането на санкциите в първичното право на ЕС.</w:t>
      </w:r>
    </w:p>
    <w:p w:rsidR="00F94202" w:rsidRPr="006C05FC" w:rsidRDefault="00F94202"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Както сполучливо сочи Габриела Белова </w:t>
      </w:r>
      <w:r w:rsidRPr="0093529E">
        <w:rPr>
          <w:rFonts w:eastAsia="Times New Roman"/>
          <w:bCs/>
          <w:i/>
          <w:sz w:val="24"/>
          <w:szCs w:val="24"/>
          <w:lang w:eastAsia="bg-BG"/>
        </w:rPr>
        <w:t>„Европейският съюз, който не е член на ООН, прилага санкциите, приемани от Съвета за сигурност, посредством двуетапна процедура”</w:t>
      </w:r>
      <w:r w:rsidRPr="006C05FC">
        <w:rPr>
          <w:rFonts w:eastAsia="Times New Roman"/>
          <w:bCs/>
          <w:sz w:val="24"/>
          <w:szCs w:val="24"/>
          <w:lang w:eastAsia="bg-BG"/>
        </w:rPr>
        <w:t xml:space="preserve">: обща позиция в рамките на </w:t>
      </w:r>
      <w:r w:rsidRPr="00007D65">
        <w:rPr>
          <w:rFonts w:eastAsia="Times New Roman"/>
          <w:bCs/>
          <w:i/>
          <w:sz w:val="24"/>
          <w:szCs w:val="24"/>
          <w:lang w:eastAsia="bg-BG"/>
        </w:rPr>
        <w:t>„втория стълб”</w:t>
      </w:r>
      <w:r w:rsidRPr="006C05FC">
        <w:rPr>
          <w:rFonts w:eastAsia="Times New Roman"/>
          <w:bCs/>
          <w:sz w:val="24"/>
          <w:szCs w:val="24"/>
          <w:lang w:eastAsia="bg-BG"/>
        </w:rPr>
        <w:t xml:space="preserve">  и регламент</w:t>
      </w:r>
      <w:r w:rsidR="008F2B74" w:rsidRPr="006C05FC">
        <w:rPr>
          <w:rStyle w:val="FootnoteReference"/>
          <w:rFonts w:eastAsia="Times New Roman"/>
          <w:bCs/>
          <w:sz w:val="24"/>
          <w:szCs w:val="24"/>
          <w:lang w:eastAsia="bg-BG"/>
        </w:rPr>
        <w:footnoteReference w:id="19"/>
      </w:r>
      <w:r w:rsidRPr="006C05FC">
        <w:rPr>
          <w:rFonts w:eastAsia="Times New Roman"/>
          <w:bCs/>
          <w:sz w:val="24"/>
          <w:szCs w:val="24"/>
          <w:lang w:eastAsia="bg-BG"/>
        </w:rPr>
        <w:t xml:space="preserve"> .</w:t>
      </w:r>
    </w:p>
    <w:p w:rsidR="00F94202" w:rsidRPr="006C05FC" w:rsidRDefault="00F94202"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В действителност най-често се обосновава дуализъм, но на практика е налице прилагане на санкциите на три равнища: на ниво ООН, на ниво ЕС и на ниво отделни държави-членки (всички държави-членки на ЕС са страни по УООН).</w:t>
      </w:r>
    </w:p>
    <w:p w:rsidR="00D51B44" w:rsidRPr="006C05FC" w:rsidRDefault="00D51B44"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Решението </w:t>
      </w:r>
      <w:r w:rsidRPr="006C05FC">
        <w:rPr>
          <w:rFonts w:eastAsia="Times New Roman"/>
          <w:bCs/>
          <w:i/>
          <w:sz w:val="24"/>
          <w:szCs w:val="24"/>
          <w:lang w:eastAsia="bg-BG"/>
        </w:rPr>
        <w:t xml:space="preserve">Кади/Ал Баракаат </w:t>
      </w:r>
      <w:r w:rsidRPr="006C05FC">
        <w:rPr>
          <w:rFonts w:eastAsia="Times New Roman"/>
          <w:bCs/>
          <w:sz w:val="24"/>
          <w:szCs w:val="24"/>
          <w:lang w:eastAsia="bg-BG"/>
        </w:rPr>
        <w:t>на Съда на ЕС</w:t>
      </w:r>
      <w:r w:rsidRPr="006C05FC">
        <w:rPr>
          <w:rFonts w:eastAsia="Times New Roman"/>
          <w:bCs/>
          <w:sz w:val="24"/>
          <w:szCs w:val="24"/>
          <w:vertAlign w:val="superscript"/>
          <w:lang w:eastAsia="bg-BG"/>
        </w:rPr>
        <w:footnoteReference w:id="20"/>
      </w:r>
      <w:r w:rsidRPr="006C05FC">
        <w:rPr>
          <w:rFonts w:eastAsia="Times New Roman"/>
          <w:bCs/>
          <w:sz w:val="24"/>
          <w:szCs w:val="24"/>
          <w:lang w:eastAsia="bg-BG"/>
        </w:rPr>
        <w:t xml:space="preserve"> се придържа към друго тълкуване на общностното право и съотношението му с международното публично право.</w:t>
      </w:r>
    </w:p>
    <w:p w:rsidR="00D51B44" w:rsidRPr="006C05FC" w:rsidRDefault="00D51B44"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lastRenderedPageBreak/>
        <w:t xml:space="preserve">От </w:t>
      </w:r>
      <w:r w:rsidR="008F2B74" w:rsidRPr="006C05FC">
        <w:rPr>
          <w:rFonts w:eastAsia="Times New Roman"/>
          <w:bCs/>
          <w:sz w:val="24"/>
          <w:szCs w:val="24"/>
          <w:lang w:eastAsia="bg-BG"/>
        </w:rPr>
        <w:t>едн</w:t>
      </w:r>
      <w:r w:rsidRPr="006C05FC">
        <w:rPr>
          <w:rFonts w:eastAsia="Times New Roman"/>
          <w:bCs/>
          <w:sz w:val="24"/>
          <w:szCs w:val="24"/>
          <w:lang w:eastAsia="bg-BG"/>
        </w:rPr>
        <w:t xml:space="preserve">а страна, това решение всъщност препотвърждава разсъжденията на ПИС относно некомпетентност за преглед на резолюции на СС. Съдът на Общността/ЕС няма предвидено в изключителната си юрисдикция (уредена към онзи момент в чл. 220 ДЕО) да проверява законосъобразността на резолюция, приета от международен орган, дори ако тя е ограничена до преглед на съответствието й с </w:t>
      </w:r>
      <w:r w:rsidRPr="006C05FC">
        <w:rPr>
          <w:rFonts w:eastAsia="Times New Roman"/>
          <w:bCs/>
          <w:i/>
          <w:sz w:val="24"/>
          <w:szCs w:val="24"/>
          <w:lang w:val="en-US" w:eastAsia="bg-BG"/>
        </w:rPr>
        <w:t>jus</w:t>
      </w:r>
      <w:r w:rsidRPr="006C05FC">
        <w:rPr>
          <w:rFonts w:eastAsia="Times New Roman"/>
          <w:bCs/>
          <w:i/>
          <w:sz w:val="24"/>
          <w:szCs w:val="24"/>
          <w:lang w:eastAsia="bg-BG"/>
        </w:rPr>
        <w:t xml:space="preserve"> </w:t>
      </w:r>
      <w:r w:rsidRPr="006C05FC">
        <w:rPr>
          <w:rFonts w:eastAsia="Times New Roman"/>
          <w:bCs/>
          <w:i/>
          <w:sz w:val="24"/>
          <w:szCs w:val="24"/>
          <w:lang w:val="en-US" w:eastAsia="bg-BG"/>
        </w:rPr>
        <w:t>cogens</w:t>
      </w:r>
      <w:r w:rsidR="008F2B74" w:rsidRPr="004E4784">
        <w:rPr>
          <w:rStyle w:val="FootnoteReference"/>
          <w:rFonts w:eastAsia="Times New Roman"/>
          <w:bCs/>
          <w:sz w:val="24"/>
          <w:szCs w:val="24"/>
          <w:lang w:val="en-US" w:eastAsia="bg-BG"/>
        </w:rPr>
        <w:footnoteReference w:id="21"/>
      </w:r>
      <w:r w:rsidRPr="006C05FC">
        <w:rPr>
          <w:rFonts w:eastAsia="Times New Roman"/>
          <w:bCs/>
          <w:sz w:val="24"/>
          <w:szCs w:val="24"/>
          <w:lang w:eastAsia="bg-BG"/>
        </w:rPr>
        <w:t>, а по-скоро да прецени законността на имплементиращите мерки на Общността. По този начин Съдът се ограничава до компетентност да направи преглед на регламента</w:t>
      </w:r>
      <w:r w:rsidR="00554591">
        <w:rPr>
          <w:rFonts w:eastAsia="Times New Roman"/>
          <w:bCs/>
          <w:sz w:val="24"/>
          <w:szCs w:val="24"/>
          <w:lang w:eastAsia="bg-BG"/>
        </w:rPr>
        <w:t>,</w:t>
      </w:r>
      <w:r w:rsidRPr="006C05FC">
        <w:rPr>
          <w:rFonts w:eastAsia="Times New Roman"/>
          <w:bCs/>
          <w:sz w:val="24"/>
          <w:szCs w:val="24"/>
          <w:lang w:eastAsia="bg-BG"/>
        </w:rPr>
        <w:t xml:space="preserve"> като осъществяващ санкциите на СС</w:t>
      </w:r>
      <w:r w:rsidR="008F2B74" w:rsidRPr="006C05FC">
        <w:rPr>
          <w:rStyle w:val="FootnoteReference"/>
          <w:rFonts w:eastAsia="Times New Roman"/>
          <w:bCs/>
          <w:sz w:val="24"/>
          <w:szCs w:val="24"/>
          <w:lang w:eastAsia="bg-BG"/>
        </w:rPr>
        <w:footnoteReference w:id="22"/>
      </w:r>
      <w:r w:rsidRPr="006C05FC">
        <w:rPr>
          <w:rFonts w:eastAsia="Times New Roman"/>
          <w:bCs/>
          <w:sz w:val="24"/>
          <w:szCs w:val="24"/>
          <w:lang w:eastAsia="bg-BG"/>
        </w:rPr>
        <w:t>.</w:t>
      </w:r>
    </w:p>
    <w:p w:rsidR="00D51B44" w:rsidRPr="006C05FC" w:rsidRDefault="00D51B44"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По-нататъшната аргументация на решението се фокусира върху принципа за защитата на основните права като неотменима част от общите принципи на правото, чието спазване Съдът осигурява. Правната логиката на европейската юрисдикция е следната. Защитата на правата на човека е част от конституционните принципи, общи за държавите-членки, както и от началата в международните инструменти за защита на правата на човека. Зачитането на правата на човека е </w:t>
      </w:r>
      <w:r w:rsidR="00933BB8" w:rsidRPr="006C05FC">
        <w:rPr>
          <w:rFonts w:eastAsia="Times New Roman"/>
          <w:bCs/>
          <w:sz w:val="24"/>
          <w:szCs w:val="24"/>
          <w:lang w:eastAsia="bg-BG"/>
        </w:rPr>
        <w:t>условие</w:t>
      </w:r>
      <w:r w:rsidRPr="006C05FC">
        <w:rPr>
          <w:rFonts w:eastAsia="Times New Roman"/>
          <w:bCs/>
          <w:sz w:val="24"/>
          <w:szCs w:val="24"/>
          <w:lang w:eastAsia="bg-BG"/>
        </w:rPr>
        <w:t xml:space="preserve"> за законността на актовете на Общността и мерки, несъвместими с този принцип не са приемливи за нея.</w:t>
      </w:r>
    </w:p>
    <w:p w:rsidR="00D51B44" w:rsidRPr="006C05FC" w:rsidRDefault="00D51B44"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Решението, по мое мнение, поставя под въпрос йерархията на двата правни реда: международното публично право и правото на ЕС само в аспекта на спазването на принципа за защита на правата на човека. Терминът </w:t>
      </w:r>
      <w:r w:rsidRPr="00A500CC">
        <w:rPr>
          <w:rFonts w:eastAsia="Times New Roman"/>
          <w:bCs/>
          <w:i/>
          <w:sz w:val="24"/>
          <w:szCs w:val="24"/>
          <w:lang w:eastAsia="bg-BG"/>
        </w:rPr>
        <w:t>„примат на международното право“</w:t>
      </w:r>
      <w:r w:rsidRPr="006C05FC">
        <w:rPr>
          <w:rFonts w:eastAsia="Times New Roman"/>
          <w:bCs/>
          <w:sz w:val="24"/>
          <w:szCs w:val="24"/>
          <w:lang w:eastAsia="bg-BG"/>
        </w:rPr>
        <w:t xml:space="preserve">, използван от Съда, както и в повечето от публикациите по проблема не отразява същността на института </w:t>
      </w:r>
      <w:r w:rsidRPr="00AB328F">
        <w:rPr>
          <w:rFonts w:eastAsia="Times New Roman"/>
          <w:bCs/>
          <w:i/>
          <w:sz w:val="24"/>
          <w:szCs w:val="24"/>
          <w:lang w:eastAsia="bg-BG"/>
        </w:rPr>
        <w:t>„приоритетно прилагане на задължения по УООН</w:t>
      </w:r>
      <w:r w:rsidR="00AB328F" w:rsidRPr="00AB328F">
        <w:rPr>
          <w:rFonts w:eastAsia="Times New Roman"/>
          <w:bCs/>
          <w:i/>
          <w:sz w:val="24"/>
          <w:szCs w:val="24"/>
          <w:lang w:eastAsia="bg-BG"/>
        </w:rPr>
        <w:t>“</w:t>
      </w:r>
      <w:r w:rsidR="005E4D58" w:rsidRPr="006C05FC">
        <w:rPr>
          <w:rFonts w:eastAsia="Times New Roman"/>
          <w:bCs/>
          <w:sz w:val="24"/>
          <w:szCs w:val="24"/>
          <w:lang w:eastAsia="bg-BG"/>
        </w:rPr>
        <w:t>:</w:t>
      </w:r>
      <w:r w:rsidRPr="006C05FC">
        <w:rPr>
          <w:rFonts w:eastAsia="Times New Roman"/>
          <w:bCs/>
          <w:sz w:val="24"/>
          <w:szCs w:val="24"/>
          <w:lang w:eastAsia="bg-BG"/>
        </w:rPr>
        <w:t xml:space="preserve"> чл. 103</w:t>
      </w:r>
      <w:r w:rsidR="001740FF" w:rsidRPr="006C05FC">
        <w:rPr>
          <w:rStyle w:val="FootnoteReference"/>
          <w:rFonts w:eastAsia="Times New Roman"/>
          <w:bCs/>
          <w:sz w:val="24"/>
          <w:szCs w:val="24"/>
          <w:lang w:eastAsia="bg-BG"/>
        </w:rPr>
        <w:footnoteReference w:id="23"/>
      </w:r>
      <w:r w:rsidRPr="006C05FC">
        <w:rPr>
          <w:rFonts w:eastAsia="Times New Roman"/>
          <w:bCs/>
          <w:sz w:val="24"/>
          <w:szCs w:val="24"/>
          <w:lang w:eastAsia="bg-BG"/>
        </w:rPr>
        <w:t>.</w:t>
      </w:r>
      <w:r w:rsidR="00F55921" w:rsidRPr="006C05FC">
        <w:rPr>
          <w:rFonts w:eastAsia="Times New Roman"/>
          <w:bCs/>
          <w:sz w:val="24"/>
          <w:szCs w:val="24"/>
          <w:lang w:eastAsia="bg-BG"/>
        </w:rPr>
        <w:t xml:space="preserve"> Осно</w:t>
      </w:r>
      <w:r w:rsidR="00AB328F">
        <w:rPr>
          <w:rFonts w:eastAsia="Times New Roman"/>
          <w:bCs/>
          <w:sz w:val="24"/>
          <w:szCs w:val="24"/>
          <w:lang w:eastAsia="bg-BG"/>
        </w:rPr>
        <w:t>вната разлика е, че при примата</w:t>
      </w:r>
      <w:r w:rsidR="006351A5" w:rsidRPr="006C05FC">
        <w:rPr>
          <w:rFonts w:eastAsia="Times New Roman"/>
          <w:bCs/>
          <w:sz w:val="24"/>
          <w:szCs w:val="24"/>
          <w:lang w:eastAsia="bg-BG"/>
        </w:rPr>
        <w:t xml:space="preserve"> </w:t>
      </w:r>
      <w:r w:rsidR="006D2C0B">
        <w:rPr>
          <w:rFonts w:eastAsia="Times New Roman"/>
          <w:bCs/>
          <w:sz w:val="24"/>
          <w:szCs w:val="24"/>
          <w:lang w:eastAsia="bg-BG"/>
        </w:rPr>
        <w:t>(</w:t>
      </w:r>
      <w:r w:rsidR="00F55921" w:rsidRPr="006C05FC">
        <w:rPr>
          <w:rFonts w:eastAsia="Times New Roman"/>
          <w:bCs/>
          <w:sz w:val="24"/>
          <w:szCs w:val="24"/>
          <w:lang w:eastAsia="bg-BG"/>
        </w:rPr>
        <w:t>върховенство</w:t>
      </w:r>
      <w:r w:rsidR="006D2C0B">
        <w:rPr>
          <w:rFonts w:eastAsia="Times New Roman"/>
          <w:bCs/>
          <w:sz w:val="24"/>
          <w:szCs w:val="24"/>
          <w:lang w:eastAsia="bg-BG"/>
        </w:rPr>
        <w:t>)</w:t>
      </w:r>
      <w:r w:rsidR="005E4D58" w:rsidRPr="006C05FC">
        <w:rPr>
          <w:rFonts w:eastAsia="Times New Roman"/>
          <w:bCs/>
          <w:sz w:val="24"/>
          <w:szCs w:val="24"/>
          <w:lang w:eastAsia="bg-BG"/>
        </w:rPr>
        <w:t xml:space="preserve"> на международното публично право</w:t>
      </w:r>
      <w:r w:rsidR="00F55921" w:rsidRPr="006C05FC">
        <w:rPr>
          <w:rFonts w:eastAsia="Times New Roman"/>
          <w:bCs/>
          <w:sz w:val="24"/>
          <w:szCs w:val="24"/>
          <w:lang w:eastAsia="bg-BG"/>
        </w:rPr>
        <w:t>, противоречащата норма</w:t>
      </w:r>
      <w:r w:rsidR="005E4D58" w:rsidRPr="006C05FC">
        <w:rPr>
          <w:rFonts w:eastAsia="Times New Roman"/>
          <w:bCs/>
          <w:sz w:val="24"/>
          <w:szCs w:val="24"/>
          <w:lang w:eastAsia="bg-BG"/>
        </w:rPr>
        <w:t xml:space="preserve"> би следвало</w:t>
      </w:r>
      <w:r w:rsidR="00F55921" w:rsidRPr="006C05FC">
        <w:rPr>
          <w:rFonts w:eastAsia="Times New Roman"/>
          <w:bCs/>
          <w:sz w:val="24"/>
          <w:szCs w:val="24"/>
          <w:lang w:eastAsia="bg-BG"/>
        </w:rPr>
        <w:t xml:space="preserve"> да се дерогира или да не се прилага. Приоритетното прилагане означава ред, по който да се изпълняват международноправните задължения, без да е налице дерогиране.</w:t>
      </w:r>
      <w:r w:rsidRPr="006C05FC">
        <w:rPr>
          <w:rFonts w:eastAsia="Times New Roman"/>
          <w:bCs/>
          <w:sz w:val="24"/>
          <w:szCs w:val="24"/>
          <w:lang w:eastAsia="bg-BG"/>
        </w:rPr>
        <w:t xml:space="preserve"> Според аргументацията на Съда </w:t>
      </w:r>
      <w:r w:rsidRPr="00AB328F">
        <w:rPr>
          <w:rFonts w:eastAsia="Times New Roman"/>
          <w:bCs/>
          <w:i/>
          <w:sz w:val="24"/>
          <w:szCs w:val="24"/>
          <w:lang w:eastAsia="bg-BG"/>
        </w:rPr>
        <w:t>„приматът“</w:t>
      </w:r>
      <w:r w:rsidR="00CB494F">
        <w:rPr>
          <w:rFonts w:eastAsia="Times New Roman"/>
          <w:bCs/>
          <w:i/>
          <w:sz w:val="24"/>
          <w:szCs w:val="24"/>
          <w:lang w:val="en-US" w:eastAsia="bg-BG"/>
        </w:rPr>
        <w:t xml:space="preserve"> </w:t>
      </w:r>
      <w:r w:rsidR="006D2C0B">
        <w:rPr>
          <w:rFonts w:eastAsia="Times New Roman"/>
          <w:bCs/>
          <w:sz w:val="24"/>
          <w:szCs w:val="24"/>
          <w:lang w:eastAsia="bg-BG"/>
        </w:rPr>
        <w:t>(</w:t>
      </w:r>
      <w:r w:rsidRPr="006C05FC">
        <w:rPr>
          <w:rFonts w:eastAsia="Times New Roman"/>
          <w:bCs/>
          <w:sz w:val="24"/>
          <w:szCs w:val="24"/>
          <w:lang w:eastAsia="bg-BG"/>
        </w:rPr>
        <w:t xml:space="preserve">разбирай </w:t>
      </w:r>
      <w:r w:rsidRPr="00AB328F">
        <w:rPr>
          <w:rFonts w:eastAsia="Times New Roman"/>
          <w:bCs/>
          <w:i/>
          <w:sz w:val="24"/>
          <w:szCs w:val="24"/>
          <w:lang w:eastAsia="bg-BG"/>
        </w:rPr>
        <w:t>„приоритетното прилагане“</w:t>
      </w:r>
      <w:r w:rsidR="006D2C0B">
        <w:rPr>
          <w:rFonts w:eastAsia="Times New Roman"/>
          <w:bCs/>
          <w:sz w:val="24"/>
          <w:szCs w:val="24"/>
          <w:lang w:eastAsia="bg-BG"/>
        </w:rPr>
        <w:t>)</w:t>
      </w:r>
      <w:r w:rsidRPr="006C05FC">
        <w:rPr>
          <w:rFonts w:eastAsia="Times New Roman"/>
          <w:bCs/>
          <w:sz w:val="24"/>
          <w:szCs w:val="24"/>
          <w:lang w:eastAsia="bg-BG"/>
        </w:rPr>
        <w:t xml:space="preserve"> не намира правно основание в ДЕС.</w:t>
      </w:r>
    </w:p>
    <w:p w:rsidR="00D51B44" w:rsidRPr="006C05FC" w:rsidRDefault="00D51B44"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На тези основания Съдът постановява:</w:t>
      </w:r>
    </w:p>
    <w:p w:rsidR="00D51B44" w:rsidRPr="006C05FC" w:rsidRDefault="00D51B44" w:rsidP="00341969">
      <w:pPr>
        <w:numPr>
          <w:ilvl w:val="0"/>
          <w:numId w:val="1"/>
        </w:numPr>
        <w:autoSpaceDE w:val="0"/>
        <w:autoSpaceDN w:val="0"/>
        <w:spacing w:after="0" w:line="360" w:lineRule="auto"/>
        <w:jc w:val="both"/>
        <w:rPr>
          <w:rFonts w:eastAsia="Times New Roman"/>
          <w:bCs/>
          <w:sz w:val="24"/>
          <w:szCs w:val="24"/>
          <w:lang w:eastAsia="bg-BG"/>
        </w:rPr>
      </w:pPr>
      <w:r w:rsidRPr="006C05FC">
        <w:rPr>
          <w:rFonts w:eastAsia="Times New Roman"/>
          <w:bCs/>
          <w:sz w:val="24"/>
          <w:szCs w:val="24"/>
          <w:lang w:eastAsia="bg-BG"/>
        </w:rPr>
        <w:lastRenderedPageBreak/>
        <w:t>Отменя решението на Първата инстанция от 21 септември 2005 г. по дело Т-315/01</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Kadi</w:t>
      </w:r>
      <w:r w:rsidRPr="006C05FC">
        <w:rPr>
          <w:rFonts w:eastAsia="Times New Roman"/>
          <w:bCs/>
          <w:sz w:val="24"/>
          <w:szCs w:val="24"/>
          <w:lang w:eastAsia="bg-BG"/>
        </w:rPr>
        <w:t xml:space="preserve"> </w:t>
      </w:r>
      <w:r w:rsidRPr="006C05FC">
        <w:rPr>
          <w:rFonts w:eastAsia="Times New Roman"/>
          <w:bCs/>
          <w:sz w:val="24"/>
          <w:szCs w:val="24"/>
          <w:lang w:val="en-US" w:eastAsia="bg-BG"/>
        </w:rPr>
        <w:t>v</w:t>
      </w:r>
      <w:r w:rsidRPr="006C05FC">
        <w:rPr>
          <w:rFonts w:eastAsia="Times New Roman"/>
          <w:bCs/>
          <w:sz w:val="24"/>
          <w:szCs w:val="24"/>
          <w:lang w:eastAsia="bg-BG"/>
        </w:rPr>
        <w:t xml:space="preserve"> </w:t>
      </w:r>
      <w:r w:rsidRPr="006C05FC">
        <w:rPr>
          <w:rFonts w:eastAsia="Times New Roman"/>
          <w:bCs/>
          <w:i/>
          <w:iCs/>
          <w:sz w:val="24"/>
          <w:szCs w:val="24"/>
          <w:lang w:val="en-US" w:eastAsia="bg-BG"/>
        </w:rPr>
        <w:t>Council</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and</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Commission</w:t>
      </w:r>
      <w:r w:rsidRPr="006C05FC">
        <w:rPr>
          <w:rFonts w:eastAsia="Times New Roman"/>
          <w:bCs/>
          <w:i/>
          <w:iCs/>
          <w:sz w:val="24"/>
          <w:szCs w:val="24"/>
          <w:lang w:eastAsia="bg-BG"/>
        </w:rPr>
        <w:t xml:space="preserve"> </w:t>
      </w:r>
      <w:r w:rsidRPr="006C05FC">
        <w:rPr>
          <w:rFonts w:eastAsia="Times New Roman"/>
          <w:bCs/>
          <w:sz w:val="24"/>
          <w:szCs w:val="24"/>
          <w:lang w:val="en-US" w:eastAsia="bg-BG"/>
        </w:rPr>
        <w:t>and</w:t>
      </w:r>
      <w:r w:rsidRPr="006C05FC">
        <w:rPr>
          <w:rFonts w:eastAsia="Times New Roman"/>
          <w:bCs/>
          <w:sz w:val="24"/>
          <w:szCs w:val="24"/>
          <w:lang w:eastAsia="bg-BG"/>
        </w:rPr>
        <w:t xml:space="preserve"> </w:t>
      </w:r>
      <w:r w:rsidRPr="006C05FC">
        <w:rPr>
          <w:rFonts w:eastAsia="Times New Roman"/>
          <w:bCs/>
          <w:sz w:val="24"/>
          <w:szCs w:val="24"/>
          <w:lang w:val="en-US" w:eastAsia="bg-BG"/>
        </w:rPr>
        <w:t>Case</w:t>
      </w:r>
      <w:r w:rsidRPr="006C05FC">
        <w:rPr>
          <w:rFonts w:eastAsia="Times New Roman"/>
          <w:bCs/>
          <w:sz w:val="24"/>
          <w:szCs w:val="24"/>
          <w:lang w:eastAsia="bg-BG"/>
        </w:rPr>
        <w:t xml:space="preserve"> </w:t>
      </w:r>
      <w:r w:rsidRPr="006C05FC">
        <w:rPr>
          <w:rFonts w:eastAsia="Times New Roman"/>
          <w:bCs/>
          <w:sz w:val="24"/>
          <w:szCs w:val="24"/>
          <w:lang w:val="en-US" w:eastAsia="bg-BG"/>
        </w:rPr>
        <w:t>T</w:t>
      </w:r>
      <w:r w:rsidRPr="006C05FC">
        <w:rPr>
          <w:rFonts w:eastAsia="Times New Roman"/>
          <w:bCs/>
          <w:sz w:val="24"/>
          <w:szCs w:val="24"/>
          <w:lang w:eastAsia="bg-BG"/>
        </w:rPr>
        <w:noBreakHyphen/>
        <w:t xml:space="preserve">306/01 </w:t>
      </w:r>
      <w:r w:rsidRPr="006C05FC">
        <w:rPr>
          <w:rFonts w:eastAsia="Times New Roman"/>
          <w:bCs/>
          <w:i/>
          <w:iCs/>
          <w:sz w:val="24"/>
          <w:szCs w:val="24"/>
          <w:lang w:val="en-US" w:eastAsia="bg-BG"/>
        </w:rPr>
        <w:t>Yusuf</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and</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Al</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Barakaat</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International</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Foundation</w:t>
      </w:r>
      <w:r w:rsidRPr="006C05FC">
        <w:rPr>
          <w:rFonts w:eastAsia="Times New Roman"/>
          <w:bCs/>
          <w:i/>
          <w:iCs/>
          <w:sz w:val="24"/>
          <w:szCs w:val="24"/>
          <w:lang w:eastAsia="bg-BG"/>
        </w:rPr>
        <w:t xml:space="preserve"> </w:t>
      </w:r>
      <w:r w:rsidRPr="006C05FC">
        <w:rPr>
          <w:rFonts w:eastAsia="Times New Roman"/>
          <w:bCs/>
          <w:sz w:val="24"/>
          <w:szCs w:val="24"/>
          <w:lang w:val="en-US" w:eastAsia="bg-BG"/>
        </w:rPr>
        <w:t>v</w:t>
      </w:r>
      <w:r w:rsidRPr="006C05FC">
        <w:rPr>
          <w:rFonts w:eastAsia="Times New Roman"/>
          <w:bCs/>
          <w:sz w:val="24"/>
          <w:szCs w:val="24"/>
          <w:lang w:eastAsia="bg-BG"/>
        </w:rPr>
        <w:t xml:space="preserve"> </w:t>
      </w:r>
      <w:r w:rsidRPr="006C05FC">
        <w:rPr>
          <w:rFonts w:eastAsia="Times New Roman"/>
          <w:bCs/>
          <w:i/>
          <w:iCs/>
          <w:sz w:val="24"/>
          <w:szCs w:val="24"/>
          <w:lang w:val="en-US" w:eastAsia="bg-BG"/>
        </w:rPr>
        <w:t>Council</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and</w:t>
      </w:r>
      <w:r w:rsidRPr="006C05FC">
        <w:rPr>
          <w:rFonts w:eastAsia="Times New Roman"/>
          <w:bCs/>
          <w:i/>
          <w:iCs/>
          <w:sz w:val="24"/>
          <w:szCs w:val="24"/>
          <w:lang w:eastAsia="bg-BG"/>
        </w:rPr>
        <w:t xml:space="preserve"> </w:t>
      </w:r>
      <w:r w:rsidRPr="006C05FC">
        <w:rPr>
          <w:rFonts w:eastAsia="Times New Roman"/>
          <w:bCs/>
          <w:i/>
          <w:iCs/>
          <w:sz w:val="24"/>
          <w:szCs w:val="24"/>
          <w:lang w:val="en-US" w:eastAsia="bg-BG"/>
        </w:rPr>
        <w:t>Commission</w:t>
      </w:r>
      <w:r w:rsidRPr="006C05FC">
        <w:rPr>
          <w:rFonts w:eastAsia="Times New Roman"/>
          <w:bCs/>
          <w:sz w:val="24"/>
          <w:szCs w:val="24"/>
          <w:lang w:eastAsia="bg-BG"/>
        </w:rPr>
        <w:t>;</w:t>
      </w:r>
    </w:p>
    <w:p w:rsidR="00D51B44" w:rsidRPr="006C05FC" w:rsidRDefault="00D51B44" w:rsidP="00341969">
      <w:pPr>
        <w:numPr>
          <w:ilvl w:val="0"/>
          <w:numId w:val="1"/>
        </w:numPr>
        <w:autoSpaceDE w:val="0"/>
        <w:autoSpaceDN w:val="0"/>
        <w:spacing w:after="0" w:line="360" w:lineRule="auto"/>
        <w:jc w:val="both"/>
        <w:rPr>
          <w:rFonts w:eastAsia="Times New Roman"/>
          <w:bCs/>
          <w:sz w:val="24"/>
          <w:szCs w:val="24"/>
          <w:lang w:eastAsia="bg-BG"/>
        </w:rPr>
      </w:pPr>
      <w:r w:rsidRPr="006C05FC">
        <w:rPr>
          <w:rFonts w:eastAsia="Times New Roman"/>
          <w:bCs/>
          <w:sz w:val="24"/>
          <w:szCs w:val="24"/>
          <w:lang w:eastAsia="bg-BG"/>
        </w:rPr>
        <w:t xml:space="preserve">Анулира Регламент на Съвета </w:t>
      </w:r>
      <w:r w:rsidRPr="006C05FC">
        <w:rPr>
          <w:rFonts w:eastAsia="Times New Roman"/>
          <w:bCs/>
          <w:sz w:val="24"/>
          <w:szCs w:val="24"/>
          <w:lang w:val="en-US" w:eastAsia="bg-BG"/>
        </w:rPr>
        <w:t>EC</w:t>
      </w:r>
      <w:r w:rsidRPr="006C05FC">
        <w:rPr>
          <w:rFonts w:eastAsia="Times New Roman"/>
          <w:bCs/>
          <w:sz w:val="24"/>
          <w:szCs w:val="24"/>
          <w:lang w:eastAsia="bg-BG"/>
        </w:rPr>
        <w:t xml:space="preserve"> </w:t>
      </w:r>
      <w:r w:rsidRPr="006C05FC">
        <w:rPr>
          <w:rFonts w:eastAsia="Times New Roman"/>
          <w:bCs/>
          <w:sz w:val="24"/>
          <w:szCs w:val="24"/>
          <w:lang w:val="en-US" w:eastAsia="bg-BG"/>
        </w:rPr>
        <w:t>No</w:t>
      </w:r>
      <w:r w:rsidRPr="006C05FC">
        <w:rPr>
          <w:rFonts w:eastAsia="Times New Roman"/>
          <w:bCs/>
          <w:sz w:val="24"/>
          <w:szCs w:val="24"/>
          <w:lang w:eastAsia="bg-BG"/>
        </w:rPr>
        <w:t xml:space="preserve"> 881/2002 </w:t>
      </w:r>
      <w:r w:rsidRPr="006C05FC">
        <w:rPr>
          <w:rFonts w:eastAsia="Times New Roman"/>
          <w:bCs/>
          <w:sz w:val="24"/>
          <w:szCs w:val="24"/>
          <w:lang w:val="en-US" w:eastAsia="bg-BG"/>
        </w:rPr>
        <w:t>of</w:t>
      </w:r>
      <w:r w:rsidRPr="006C05FC">
        <w:rPr>
          <w:rFonts w:eastAsia="Times New Roman"/>
          <w:bCs/>
          <w:sz w:val="24"/>
          <w:szCs w:val="24"/>
          <w:lang w:eastAsia="bg-BG"/>
        </w:rPr>
        <w:t xml:space="preserve"> 27 </w:t>
      </w:r>
      <w:r w:rsidRPr="006C05FC">
        <w:rPr>
          <w:rFonts w:eastAsia="Times New Roman"/>
          <w:bCs/>
          <w:sz w:val="24"/>
          <w:szCs w:val="24"/>
          <w:lang w:val="en-US" w:eastAsia="bg-BG"/>
        </w:rPr>
        <w:t>May</w:t>
      </w:r>
      <w:r w:rsidRPr="006C05FC">
        <w:rPr>
          <w:rFonts w:eastAsia="Times New Roman"/>
          <w:bCs/>
          <w:sz w:val="24"/>
          <w:szCs w:val="24"/>
          <w:lang w:eastAsia="bg-BG"/>
        </w:rPr>
        <w:t xml:space="preserve"> 2002 що се отнасят до Кади и Международната фондация Ал Баракаат;</w:t>
      </w:r>
    </w:p>
    <w:p w:rsidR="00D51B44" w:rsidRPr="006C05FC" w:rsidRDefault="00D51B44" w:rsidP="00341969">
      <w:pPr>
        <w:numPr>
          <w:ilvl w:val="0"/>
          <w:numId w:val="1"/>
        </w:numPr>
        <w:autoSpaceDE w:val="0"/>
        <w:autoSpaceDN w:val="0"/>
        <w:spacing w:after="0" w:line="360" w:lineRule="auto"/>
        <w:jc w:val="both"/>
        <w:rPr>
          <w:rFonts w:eastAsia="Times New Roman"/>
          <w:bCs/>
          <w:sz w:val="24"/>
          <w:szCs w:val="24"/>
          <w:lang w:eastAsia="bg-BG"/>
        </w:rPr>
      </w:pPr>
      <w:r w:rsidRPr="006C05FC">
        <w:rPr>
          <w:rFonts w:eastAsia="Times New Roman"/>
          <w:bCs/>
          <w:sz w:val="24"/>
          <w:szCs w:val="24"/>
          <w:lang w:eastAsia="bg-BG"/>
        </w:rPr>
        <w:t xml:space="preserve">Разпорежда ефектите от Регламент </w:t>
      </w:r>
      <w:r w:rsidRPr="006C05FC">
        <w:rPr>
          <w:rFonts w:eastAsia="Times New Roman"/>
          <w:bCs/>
          <w:sz w:val="24"/>
          <w:szCs w:val="24"/>
          <w:lang w:val="en-US" w:eastAsia="bg-BG"/>
        </w:rPr>
        <w:t>No</w:t>
      </w:r>
      <w:r w:rsidRPr="006C05FC">
        <w:rPr>
          <w:rFonts w:eastAsia="Times New Roman"/>
          <w:bCs/>
          <w:sz w:val="24"/>
          <w:szCs w:val="24"/>
          <w:lang w:eastAsia="bg-BG"/>
        </w:rPr>
        <w:t xml:space="preserve"> 881/2002 относно г-н Кади и Международната фондация Ал Баракаат да продължат за не повече от период от 3 месеца от датата на издаването на това решение</w:t>
      </w:r>
      <w:r w:rsidRPr="006C05FC">
        <w:rPr>
          <w:rFonts w:eastAsia="Times New Roman"/>
          <w:bCs/>
          <w:sz w:val="24"/>
          <w:szCs w:val="24"/>
          <w:vertAlign w:val="superscript"/>
          <w:lang w:eastAsia="bg-BG"/>
        </w:rPr>
        <w:footnoteReference w:id="24"/>
      </w:r>
      <w:r w:rsidRPr="006C05FC">
        <w:rPr>
          <w:rFonts w:eastAsia="Times New Roman"/>
          <w:bCs/>
          <w:sz w:val="24"/>
          <w:szCs w:val="24"/>
          <w:lang w:eastAsia="bg-BG"/>
        </w:rPr>
        <w:t>;</w:t>
      </w:r>
    </w:p>
    <w:p w:rsidR="007F249A" w:rsidRDefault="007F249A" w:rsidP="00341969">
      <w:pPr>
        <w:autoSpaceDE w:val="0"/>
        <w:autoSpaceDN w:val="0"/>
        <w:spacing w:after="0" w:line="360" w:lineRule="auto"/>
        <w:ind w:firstLine="708"/>
        <w:jc w:val="both"/>
        <w:rPr>
          <w:rFonts w:eastAsia="Times New Roman"/>
          <w:bCs/>
          <w:sz w:val="24"/>
          <w:szCs w:val="24"/>
          <w:lang w:eastAsia="bg-BG"/>
        </w:rPr>
      </w:pPr>
    </w:p>
    <w:p w:rsidR="005E4D58" w:rsidRPr="00341969" w:rsidRDefault="005E4D58" w:rsidP="00341969">
      <w:pPr>
        <w:autoSpaceDE w:val="0"/>
        <w:autoSpaceDN w:val="0"/>
        <w:spacing w:after="0" w:line="360" w:lineRule="auto"/>
        <w:ind w:firstLine="708"/>
        <w:jc w:val="both"/>
        <w:rPr>
          <w:rFonts w:eastAsia="Times New Roman"/>
          <w:b/>
          <w:bCs/>
          <w:i/>
          <w:sz w:val="24"/>
          <w:szCs w:val="24"/>
          <w:lang w:eastAsia="bg-BG"/>
        </w:rPr>
      </w:pPr>
      <w:r w:rsidRPr="00341969">
        <w:rPr>
          <w:rFonts w:eastAsia="Times New Roman"/>
          <w:b/>
          <w:bCs/>
          <w:i/>
          <w:sz w:val="24"/>
          <w:szCs w:val="24"/>
          <w:lang w:eastAsia="bg-BG"/>
        </w:rPr>
        <w:t>Изводи</w:t>
      </w:r>
    </w:p>
    <w:p w:rsidR="007F249A" w:rsidRPr="006C05FC" w:rsidRDefault="007F249A" w:rsidP="00341969">
      <w:pPr>
        <w:autoSpaceDE w:val="0"/>
        <w:autoSpaceDN w:val="0"/>
        <w:spacing w:after="0" w:line="360" w:lineRule="auto"/>
        <w:ind w:firstLine="708"/>
        <w:jc w:val="both"/>
        <w:rPr>
          <w:rFonts w:eastAsia="Times New Roman"/>
          <w:bCs/>
          <w:sz w:val="24"/>
          <w:szCs w:val="24"/>
          <w:lang w:eastAsia="bg-BG"/>
        </w:rPr>
      </w:pPr>
    </w:p>
    <w:p w:rsidR="005E4D58" w:rsidRPr="006C05FC" w:rsidRDefault="005E4D58"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 xml:space="preserve">Внимателният анализ на двете решения води до извода, че Съдът на ЕС не поставя под съмнение приоритетното прилагане на задълженията по Устава на ООН (нормата на чл. 103 от УООН), т.е. общото международно публично право. </w:t>
      </w:r>
    </w:p>
    <w:p w:rsidR="005E4D58" w:rsidRPr="006C05FC" w:rsidRDefault="005E4D58" w:rsidP="00341969">
      <w:pPr>
        <w:autoSpaceDE w:val="0"/>
        <w:autoSpaceDN w:val="0"/>
        <w:spacing w:after="0" w:line="360" w:lineRule="auto"/>
        <w:ind w:firstLine="708"/>
        <w:jc w:val="both"/>
        <w:rPr>
          <w:rFonts w:eastAsia="Times New Roman"/>
          <w:bCs/>
          <w:sz w:val="24"/>
          <w:szCs w:val="24"/>
          <w:lang w:eastAsia="bg-BG"/>
        </w:rPr>
      </w:pPr>
      <w:r w:rsidRPr="006C05FC">
        <w:rPr>
          <w:rFonts w:eastAsia="Times New Roman"/>
          <w:bCs/>
          <w:sz w:val="24"/>
          <w:szCs w:val="24"/>
          <w:lang w:eastAsia="bg-BG"/>
        </w:rPr>
        <w:t>Не може да се направи категоричн</w:t>
      </w:r>
      <w:r w:rsidR="00EA4676" w:rsidRPr="006C05FC">
        <w:rPr>
          <w:rFonts w:eastAsia="Times New Roman"/>
          <w:bCs/>
          <w:sz w:val="24"/>
          <w:szCs w:val="24"/>
          <w:lang w:eastAsia="bg-BG"/>
        </w:rPr>
        <w:t>о</w:t>
      </w:r>
      <w:r w:rsidRPr="006C05FC">
        <w:rPr>
          <w:rFonts w:eastAsia="Times New Roman"/>
          <w:bCs/>
          <w:sz w:val="24"/>
          <w:szCs w:val="24"/>
          <w:lang w:eastAsia="bg-BG"/>
        </w:rPr>
        <w:t xml:space="preserve"> </w:t>
      </w:r>
      <w:r w:rsidR="00EA4676" w:rsidRPr="006C05FC">
        <w:rPr>
          <w:rFonts w:eastAsia="Times New Roman"/>
          <w:bCs/>
          <w:sz w:val="24"/>
          <w:szCs w:val="24"/>
          <w:lang w:eastAsia="bg-BG"/>
        </w:rPr>
        <w:t>заключение</w:t>
      </w:r>
      <w:r w:rsidRPr="006C05FC">
        <w:rPr>
          <w:rFonts w:eastAsia="Times New Roman"/>
          <w:bCs/>
          <w:sz w:val="24"/>
          <w:szCs w:val="24"/>
          <w:lang w:eastAsia="bg-BG"/>
        </w:rPr>
        <w:t>, че Съдът на ЕС придава по-голяма ценност или стойност на международноправния правопорядък или на правото на ЕС. Едва ли съдът е целял именно та</w:t>
      </w:r>
      <w:r w:rsidR="00F31F59" w:rsidRPr="006C05FC">
        <w:rPr>
          <w:rFonts w:eastAsia="Times New Roman"/>
          <w:bCs/>
          <w:sz w:val="24"/>
          <w:szCs w:val="24"/>
          <w:lang w:eastAsia="bg-BG"/>
        </w:rPr>
        <w:t>къв извод</w:t>
      </w:r>
      <w:r w:rsidRPr="006C05FC">
        <w:rPr>
          <w:rFonts w:eastAsia="Times New Roman"/>
          <w:bCs/>
          <w:sz w:val="24"/>
          <w:szCs w:val="24"/>
          <w:lang w:eastAsia="bg-BG"/>
        </w:rPr>
        <w:t>, търсейки решение на казуса. Както посочих по-горе въпросът за йерархията на двата правни реда: международното публично право и правото на ЕС засяга само спазването на принципа за защита на правата на човека.</w:t>
      </w:r>
      <w:r w:rsidR="00F31F59" w:rsidRPr="006C05FC">
        <w:rPr>
          <w:rFonts w:eastAsia="Calibri"/>
          <w:sz w:val="24"/>
          <w:szCs w:val="24"/>
        </w:rPr>
        <w:t xml:space="preserve"> </w:t>
      </w:r>
      <w:r w:rsidR="00F31F59" w:rsidRPr="006C05FC">
        <w:rPr>
          <w:rFonts w:eastAsia="Times New Roman"/>
          <w:bCs/>
          <w:sz w:val="24"/>
          <w:szCs w:val="24"/>
          <w:lang w:eastAsia="bg-BG"/>
        </w:rPr>
        <w:t xml:space="preserve">Но със сигурност може да се твърди, че решението </w:t>
      </w:r>
      <w:r w:rsidR="00F31F59" w:rsidRPr="006C05FC">
        <w:rPr>
          <w:rFonts w:eastAsia="Times New Roman"/>
          <w:bCs/>
          <w:i/>
          <w:sz w:val="24"/>
          <w:szCs w:val="24"/>
          <w:lang w:eastAsia="bg-BG"/>
        </w:rPr>
        <w:t xml:space="preserve">Кади/Ал Баракаат </w:t>
      </w:r>
      <w:r w:rsidR="00446559">
        <w:rPr>
          <w:rFonts w:eastAsia="Times New Roman"/>
          <w:bCs/>
          <w:sz w:val="24"/>
          <w:szCs w:val="24"/>
          <w:lang w:eastAsia="bg-BG"/>
        </w:rPr>
        <w:t xml:space="preserve">издига една несъмнено </w:t>
      </w:r>
      <w:proofErr w:type="spellStart"/>
      <w:r w:rsidR="00446559">
        <w:rPr>
          <w:rFonts w:eastAsia="Times New Roman"/>
          <w:bCs/>
          <w:sz w:val="24"/>
          <w:szCs w:val="24"/>
          <w:lang w:eastAsia="bg-BG"/>
        </w:rPr>
        <w:t>па</w:t>
      </w:r>
      <w:r w:rsidR="00F31F59" w:rsidRPr="006C05FC">
        <w:rPr>
          <w:rFonts w:eastAsia="Times New Roman"/>
          <w:bCs/>
          <w:sz w:val="24"/>
          <w:szCs w:val="24"/>
          <w:lang w:eastAsia="bg-BG"/>
        </w:rPr>
        <w:t>ртикуларна</w:t>
      </w:r>
      <w:proofErr w:type="spellEnd"/>
      <w:r w:rsidR="00F31F59" w:rsidRPr="006C05FC">
        <w:rPr>
          <w:rFonts w:eastAsia="Times New Roman"/>
          <w:bCs/>
          <w:sz w:val="24"/>
          <w:szCs w:val="24"/>
          <w:lang w:eastAsia="bg-BG"/>
        </w:rPr>
        <w:t xml:space="preserve"> норма от типа </w:t>
      </w:r>
      <w:r w:rsidR="00F31F59" w:rsidRPr="006C05FC">
        <w:rPr>
          <w:rFonts w:eastAsia="Times New Roman"/>
          <w:bCs/>
          <w:i/>
          <w:sz w:val="24"/>
          <w:szCs w:val="24"/>
          <w:lang w:eastAsia="bg-BG"/>
        </w:rPr>
        <w:t>jus cogens:</w:t>
      </w:r>
      <w:r w:rsidR="00F31F59" w:rsidRPr="006C05FC">
        <w:rPr>
          <w:rFonts w:eastAsia="Times New Roman"/>
          <w:bCs/>
          <w:sz w:val="24"/>
          <w:szCs w:val="24"/>
          <w:lang w:eastAsia="bg-BG"/>
        </w:rPr>
        <w:t xml:space="preserve"> закрилата на правата на човека и основните свободи  в равноправна на универсалните.</w:t>
      </w:r>
    </w:p>
    <w:p w:rsidR="00F55921" w:rsidRPr="006C05FC" w:rsidRDefault="005E4D58" w:rsidP="00341969">
      <w:pPr>
        <w:pStyle w:val="c40dispositifmarge0avecretrait"/>
        <w:spacing w:after="0" w:line="360" w:lineRule="auto"/>
        <w:ind w:left="0" w:firstLine="567"/>
        <w:rPr>
          <w:rFonts w:ascii="Times New Roman" w:hAnsi="Times New Roman" w:cs="Times New Roman"/>
          <w:b w:val="0"/>
          <w:sz w:val="24"/>
          <w:szCs w:val="24"/>
          <w:lang w:val="bg-BG"/>
        </w:rPr>
      </w:pPr>
      <w:r w:rsidRPr="006C05FC">
        <w:rPr>
          <w:rFonts w:ascii="Times New Roman" w:hAnsi="Times New Roman" w:cs="Times New Roman"/>
          <w:b w:val="0"/>
          <w:sz w:val="24"/>
          <w:szCs w:val="24"/>
          <w:lang w:val="bg-BG"/>
        </w:rPr>
        <w:t>Изследователите на съотношението между двете правни системи подхождат по различен начин и обосновават разнообразни доктринални конструкции.</w:t>
      </w:r>
    </w:p>
    <w:p w:rsidR="00D51B44" w:rsidRPr="006C05FC" w:rsidRDefault="005E4D58" w:rsidP="00341969">
      <w:pPr>
        <w:pStyle w:val="c40dispositifmarge0avecretrait"/>
        <w:spacing w:after="0" w:line="360" w:lineRule="auto"/>
        <w:ind w:left="0" w:firstLine="567"/>
        <w:rPr>
          <w:rFonts w:ascii="Times New Roman" w:hAnsi="Times New Roman" w:cs="Times New Roman"/>
          <w:b w:val="0"/>
          <w:sz w:val="24"/>
          <w:szCs w:val="24"/>
          <w:lang w:val="bg-BG"/>
        </w:rPr>
      </w:pPr>
      <w:r w:rsidRPr="006C05FC">
        <w:rPr>
          <w:rFonts w:ascii="Times New Roman" w:hAnsi="Times New Roman" w:cs="Times New Roman"/>
          <w:b w:val="0"/>
          <w:sz w:val="24"/>
          <w:szCs w:val="24"/>
          <w:lang w:val="bg-BG"/>
        </w:rPr>
        <w:t>Едни</w:t>
      </w:r>
      <w:r w:rsidR="00D51B44" w:rsidRPr="006C05FC">
        <w:rPr>
          <w:rFonts w:ascii="Times New Roman" w:hAnsi="Times New Roman" w:cs="Times New Roman"/>
          <w:b w:val="0"/>
          <w:sz w:val="24"/>
          <w:szCs w:val="24"/>
          <w:lang w:val="bg-BG"/>
        </w:rPr>
        <w:t xml:space="preserve"> автори се стремят да </w:t>
      </w:r>
      <w:r w:rsidR="00D51B44" w:rsidRPr="00233FD4">
        <w:rPr>
          <w:rFonts w:ascii="Times New Roman" w:hAnsi="Times New Roman" w:cs="Times New Roman"/>
          <w:b w:val="0"/>
          <w:i/>
          <w:sz w:val="24"/>
          <w:szCs w:val="24"/>
          <w:lang w:val="bg-BG"/>
        </w:rPr>
        <w:t>„помирят”</w:t>
      </w:r>
      <w:r w:rsidR="00D51B44" w:rsidRPr="006C05FC">
        <w:rPr>
          <w:rFonts w:ascii="Times New Roman" w:hAnsi="Times New Roman" w:cs="Times New Roman"/>
          <w:b w:val="0"/>
          <w:sz w:val="24"/>
          <w:szCs w:val="24"/>
          <w:lang w:val="bg-BG"/>
        </w:rPr>
        <w:t xml:space="preserve"> тезите за </w:t>
      </w:r>
      <w:r w:rsidR="00D51B44" w:rsidRPr="00233FD4">
        <w:rPr>
          <w:rFonts w:ascii="Times New Roman" w:hAnsi="Times New Roman" w:cs="Times New Roman"/>
          <w:b w:val="0"/>
          <w:i/>
          <w:sz w:val="24"/>
          <w:szCs w:val="24"/>
          <w:lang w:val="bg-BG"/>
        </w:rPr>
        <w:t>„примат“</w:t>
      </w:r>
      <w:r w:rsidR="00D51B44" w:rsidRPr="006C05FC">
        <w:rPr>
          <w:rFonts w:ascii="Times New Roman" w:hAnsi="Times New Roman" w:cs="Times New Roman"/>
          <w:b w:val="0"/>
          <w:sz w:val="24"/>
          <w:szCs w:val="24"/>
          <w:lang w:val="bg-BG"/>
        </w:rPr>
        <w:t xml:space="preserve"> на международното право или на правото на ЕС. Хуан Сантос Вара счита, </w:t>
      </w:r>
      <w:r w:rsidR="00D51B44" w:rsidRPr="00FD321A">
        <w:rPr>
          <w:rFonts w:ascii="Times New Roman" w:hAnsi="Times New Roman" w:cs="Times New Roman"/>
          <w:b w:val="0"/>
          <w:sz w:val="24"/>
          <w:szCs w:val="24"/>
          <w:lang w:val="bg-BG"/>
        </w:rPr>
        <w:t>че</w:t>
      </w:r>
      <w:r w:rsidR="00D51B44" w:rsidRPr="00233FD4">
        <w:rPr>
          <w:rFonts w:ascii="Times New Roman" w:hAnsi="Times New Roman" w:cs="Times New Roman"/>
          <w:b w:val="0"/>
          <w:i/>
          <w:sz w:val="24"/>
          <w:szCs w:val="24"/>
          <w:lang w:val="bg-BG"/>
        </w:rPr>
        <w:t xml:space="preserve"> „една от големите новости на решението Кади/Ал Баракаат, е че Съдът на ЕС разглежда Устава на ООН и резолюциите на Съвета на сигурност за равнопоставени на другите международни договори по смисъла на общностния правен ред”</w:t>
      </w:r>
      <w:r w:rsidRPr="004C371E">
        <w:rPr>
          <w:rStyle w:val="FootnoteReference"/>
          <w:rFonts w:ascii="Times New Roman" w:hAnsi="Times New Roman"/>
          <w:b w:val="0"/>
          <w:sz w:val="24"/>
          <w:szCs w:val="24"/>
          <w:lang w:val="bg-BG"/>
        </w:rPr>
        <w:footnoteReference w:id="25"/>
      </w:r>
      <w:r w:rsidR="00D51B44" w:rsidRPr="006C05FC">
        <w:rPr>
          <w:rFonts w:ascii="Times New Roman" w:hAnsi="Times New Roman" w:cs="Times New Roman"/>
          <w:b w:val="0"/>
          <w:sz w:val="24"/>
          <w:szCs w:val="24"/>
          <w:lang w:val="bg-BG"/>
        </w:rPr>
        <w:t>.</w:t>
      </w:r>
    </w:p>
    <w:p w:rsidR="00F31F59" w:rsidRPr="006C05FC" w:rsidRDefault="00F31F59" w:rsidP="00341969">
      <w:pPr>
        <w:pStyle w:val="c40dispositifmarge0avecretrait"/>
        <w:spacing w:after="0" w:line="360" w:lineRule="auto"/>
        <w:ind w:left="0" w:firstLine="567"/>
        <w:rPr>
          <w:rFonts w:ascii="Times New Roman" w:hAnsi="Times New Roman" w:cs="Times New Roman"/>
          <w:b w:val="0"/>
          <w:sz w:val="24"/>
          <w:szCs w:val="24"/>
          <w:lang w:val="bg-BG"/>
        </w:rPr>
      </w:pPr>
      <w:r w:rsidRPr="006C05FC">
        <w:rPr>
          <w:rFonts w:ascii="Times New Roman" w:hAnsi="Times New Roman" w:cs="Times New Roman"/>
          <w:b w:val="0"/>
          <w:sz w:val="24"/>
          <w:szCs w:val="24"/>
          <w:lang w:val="bg-BG"/>
        </w:rPr>
        <w:lastRenderedPageBreak/>
        <w:t>О</w:t>
      </w:r>
      <w:r w:rsidR="00F55921" w:rsidRPr="006C05FC">
        <w:rPr>
          <w:rFonts w:ascii="Times New Roman" w:hAnsi="Times New Roman" w:cs="Times New Roman"/>
          <w:b w:val="0"/>
          <w:sz w:val="24"/>
          <w:szCs w:val="24"/>
          <w:lang w:val="bg-BG"/>
        </w:rPr>
        <w:t>рлин Борисов още през 2001 г. твърди, че правото на ЕС е</w:t>
      </w:r>
      <w:r w:rsidRPr="006C05FC">
        <w:rPr>
          <w:rFonts w:ascii="Times New Roman" w:hAnsi="Times New Roman" w:cs="Times New Roman"/>
          <w:b w:val="0"/>
          <w:sz w:val="24"/>
          <w:szCs w:val="24"/>
          <w:lang w:val="bg-BG"/>
        </w:rPr>
        <w:t xml:space="preserve"> </w:t>
      </w:r>
      <w:r w:rsidR="00F55921" w:rsidRPr="00233FD4">
        <w:rPr>
          <w:rFonts w:ascii="Times New Roman" w:hAnsi="Times New Roman" w:cs="Times New Roman"/>
          <w:b w:val="0"/>
          <w:i/>
          <w:sz w:val="24"/>
          <w:szCs w:val="24"/>
          <w:lang w:val="bg-BG"/>
        </w:rPr>
        <w:t>“хибрид”</w:t>
      </w:r>
      <w:r w:rsidR="00F55921" w:rsidRPr="006C05FC">
        <w:rPr>
          <w:rFonts w:ascii="Times New Roman" w:hAnsi="Times New Roman" w:cs="Times New Roman"/>
          <w:b w:val="0"/>
          <w:sz w:val="24"/>
          <w:szCs w:val="24"/>
          <w:lang w:val="bg-BG"/>
        </w:rPr>
        <w:t xml:space="preserve">, съчетаващ ефективно нормите на международноправната и вътрешноправната системи на държавите-членки, </w:t>
      </w:r>
      <w:r w:rsidR="00933BB8" w:rsidRPr="006C05FC">
        <w:rPr>
          <w:rFonts w:ascii="Times New Roman" w:hAnsi="Times New Roman" w:cs="Times New Roman"/>
          <w:b w:val="0"/>
          <w:sz w:val="24"/>
          <w:szCs w:val="24"/>
          <w:lang w:val="bg-BG"/>
        </w:rPr>
        <w:t>уреждайки</w:t>
      </w:r>
      <w:r w:rsidR="00F55921" w:rsidRPr="006C05FC">
        <w:rPr>
          <w:rFonts w:ascii="Times New Roman" w:hAnsi="Times New Roman" w:cs="Times New Roman"/>
          <w:b w:val="0"/>
          <w:sz w:val="24"/>
          <w:szCs w:val="24"/>
          <w:lang w:val="bg-BG"/>
        </w:rPr>
        <w:t xml:space="preserve"> като междудържавните, така </w:t>
      </w:r>
      <w:r w:rsidRPr="006C05FC">
        <w:rPr>
          <w:rFonts w:ascii="Times New Roman" w:hAnsi="Times New Roman" w:cs="Times New Roman"/>
          <w:b w:val="0"/>
          <w:sz w:val="24"/>
          <w:szCs w:val="24"/>
          <w:lang w:val="bg-BG"/>
        </w:rPr>
        <w:t>и вътрешноправните им отношения</w:t>
      </w:r>
      <w:r w:rsidR="00F55921" w:rsidRPr="006C05FC">
        <w:rPr>
          <w:rFonts w:ascii="Times New Roman" w:hAnsi="Times New Roman" w:cs="Times New Roman"/>
          <w:b w:val="0"/>
          <w:sz w:val="24"/>
          <w:szCs w:val="24"/>
          <w:vertAlign w:val="superscript"/>
        </w:rPr>
        <w:footnoteReference w:id="26"/>
      </w:r>
      <w:r w:rsidR="00F55921" w:rsidRPr="006C05FC">
        <w:rPr>
          <w:rFonts w:ascii="Times New Roman" w:hAnsi="Times New Roman" w:cs="Times New Roman"/>
          <w:b w:val="0"/>
          <w:sz w:val="24"/>
          <w:szCs w:val="24"/>
          <w:lang w:val="bg-BG"/>
        </w:rPr>
        <w:t xml:space="preserve">. </w:t>
      </w:r>
    </w:p>
    <w:p w:rsidR="00F55921" w:rsidRPr="006C05FC" w:rsidRDefault="00F31F59" w:rsidP="00341969">
      <w:pPr>
        <w:pStyle w:val="c40dispositifmarge0avecretrait"/>
        <w:spacing w:after="0" w:line="360" w:lineRule="auto"/>
        <w:ind w:left="0" w:firstLine="567"/>
        <w:rPr>
          <w:rFonts w:ascii="Times New Roman" w:hAnsi="Times New Roman" w:cs="Times New Roman"/>
          <w:b w:val="0"/>
          <w:sz w:val="24"/>
          <w:szCs w:val="24"/>
          <w:lang w:val="bg-BG"/>
        </w:rPr>
      </w:pPr>
      <w:r w:rsidRPr="006C05FC">
        <w:rPr>
          <w:rFonts w:ascii="Times New Roman" w:hAnsi="Times New Roman" w:cs="Times New Roman"/>
          <w:b w:val="0"/>
          <w:sz w:val="24"/>
          <w:szCs w:val="24"/>
          <w:lang w:val="bg-BG"/>
        </w:rPr>
        <w:t>Трета група автори отстояват</w:t>
      </w:r>
      <w:r w:rsidR="00F55921" w:rsidRPr="006C05FC">
        <w:rPr>
          <w:rFonts w:ascii="Times New Roman" w:hAnsi="Times New Roman" w:cs="Times New Roman"/>
          <w:b w:val="0"/>
          <w:sz w:val="24"/>
          <w:szCs w:val="24"/>
          <w:lang w:val="bg-BG"/>
        </w:rPr>
        <w:t xml:space="preserve"> тезата</w:t>
      </w:r>
      <w:r w:rsidRPr="006C05FC">
        <w:rPr>
          <w:rFonts w:ascii="Times New Roman" w:hAnsi="Times New Roman" w:cs="Times New Roman"/>
          <w:b w:val="0"/>
          <w:sz w:val="24"/>
          <w:szCs w:val="24"/>
          <w:lang w:val="bg-BG"/>
        </w:rPr>
        <w:t>, че правото на ЕС</w:t>
      </w:r>
      <w:r w:rsidR="00F55921" w:rsidRPr="006C05FC">
        <w:rPr>
          <w:rFonts w:ascii="Times New Roman" w:hAnsi="Times New Roman" w:cs="Times New Roman"/>
          <w:b w:val="0"/>
          <w:sz w:val="24"/>
          <w:szCs w:val="24"/>
          <w:lang w:val="bg-BG"/>
        </w:rPr>
        <w:t xml:space="preserve"> </w:t>
      </w:r>
      <w:r w:rsidRPr="006C05FC">
        <w:rPr>
          <w:rFonts w:ascii="Times New Roman" w:hAnsi="Times New Roman" w:cs="Times New Roman"/>
          <w:b w:val="0"/>
          <w:sz w:val="24"/>
          <w:szCs w:val="24"/>
          <w:lang w:val="bg-BG"/>
        </w:rPr>
        <w:t>е</w:t>
      </w:r>
      <w:r w:rsidR="00F55921" w:rsidRPr="006C05FC">
        <w:rPr>
          <w:rFonts w:ascii="Times New Roman" w:hAnsi="Times New Roman" w:cs="Times New Roman"/>
          <w:b w:val="0"/>
          <w:sz w:val="24"/>
          <w:szCs w:val="24"/>
          <w:lang w:val="bg-BG"/>
        </w:rPr>
        <w:t xml:space="preserve"> </w:t>
      </w:r>
      <w:r w:rsidR="00F55921" w:rsidRPr="006C05FC">
        <w:rPr>
          <w:rFonts w:ascii="Times New Roman" w:hAnsi="Times New Roman" w:cs="Times New Roman"/>
          <w:b w:val="0"/>
          <w:i/>
          <w:sz w:val="24"/>
          <w:szCs w:val="24"/>
        </w:rPr>
        <w:t>sui</w:t>
      </w:r>
      <w:r w:rsidR="00F55921" w:rsidRPr="006C05FC">
        <w:rPr>
          <w:rFonts w:ascii="Times New Roman" w:hAnsi="Times New Roman" w:cs="Times New Roman"/>
          <w:b w:val="0"/>
          <w:i/>
          <w:sz w:val="24"/>
          <w:szCs w:val="24"/>
          <w:lang w:val="bg-BG"/>
        </w:rPr>
        <w:t xml:space="preserve"> </w:t>
      </w:r>
      <w:r w:rsidR="00F55921" w:rsidRPr="006C05FC">
        <w:rPr>
          <w:rFonts w:ascii="Times New Roman" w:hAnsi="Times New Roman" w:cs="Times New Roman"/>
          <w:b w:val="0"/>
          <w:i/>
          <w:sz w:val="24"/>
          <w:szCs w:val="24"/>
        </w:rPr>
        <w:t>generis</w:t>
      </w:r>
      <w:r w:rsidR="00F55921" w:rsidRPr="006C05FC">
        <w:rPr>
          <w:rFonts w:ascii="Times New Roman" w:hAnsi="Times New Roman" w:cs="Times New Roman"/>
          <w:b w:val="0"/>
          <w:sz w:val="24"/>
          <w:szCs w:val="24"/>
          <w:lang w:val="bg-BG"/>
        </w:rPr>
        <w:t xml:space="preserve">, </w:t>
      </w:r>
      <w:r w:rsidRPr="006C05FC">
        <w:rPr>
          <w:rFonts w:ascii="Times New Roman" w:hAnsi="Times New Roman" w:cs="Times New Roman"/>
          <w:b w:val="0"/>
          <w:sz w:val="24"/>
          <w:szCs w:val="24"/>
          <w:lang w:val="bg-BG"/>
        </w:rPr>
        <w:t>чиято основна отличителна черта е</w:t>
      </w:r>
      <w:r w:rsidR="00F55921" w:rsidRPr="006C05FC">
        <w:rPr>
          <w:rFonts w:ascii="Times New Roman" w:hAnsi="Times New Roman" w:cs="Times New Roman"/>
          <w:b w:val="0"/>
          <w:sz w:val="24"/>
          <w:szCs w:val="24"/>
          <w:lang w:val="bg-BG"/>
        </w:rPr>
        <w:t xml:space="preserve"> пряко</w:t>
      </w:r>
      <w:r w:rsidRPr="006C05FC">
        <w:rPr>
          <w:rFonts w:ascii="Times New Roman" w:hAnsi="Times New Roman" w:cs="Times New Roman"/>
          <w:b w:val="0"/>
          <w:sz w:val="24"/>
          <w:szCs w:val="24"/>
          <w:lang w:val="bg-BG"/>
        </w:rPr>
        <w:t>то му</w:t>
      </w:r>
      <w:r w:rsidR="00F55921" w:rsidRPr="006C05FC">
        <w:rPr>
          <w:rFonts w:ascii="Times New Roman" w:hAnsi="Times New Roman" w:cs="Times New Roman"/>
          <w:b w:val="0"/>
          <w:sz w:val="24"/>
          <w:szCs w:val="24"/>
          <w:lang w:val="bg-BG"/>
        </w:rPr>
        <w:t xml:space="preserve"> действие във вътрешното право на страните-членки</w:t>
      </w:r>
      <w:r w:rsidRPr="006C05FC">
        <w:rPr>
          <w:rStyle w:val="FootnoteReference"/>
          <w:rFonts w:ascii="Times New Roman" w:hAnsi="Times New Roman"/>
          <w:b w:val="0"/>
          <w:sz w:val="24"/>
          <w:szCs w:val="24"/>
          <w:lang w:val="bg-BG"/>
        </w:rPr>
        <w:footnoteReference w:id="27"/>
      </w:r>
      <w:r w:rsidR="00F55921" w:rsidRPr="006C05FC">
        <w:rPr>
          <w:rFonts w:ascii="Times New Roman" w:hAnsi="Times New Roman" w:cs="Times New Roman"/>
          <w:b w:val="0"/>
          <w:sz w:val="24"/>
          <w:szCs w:val="24"/>
          <w:lang w:val="bg-BG"/>
        </w:rPr>
        <w:t>.</w:t>
      </w:r>
    </w:p>
    <w:p w:rsidR="000139CF" w:rsidRPr="006C05FC" w:rsidRDefault="00F31F59" w:rsidP="00341969">
      <w:pPr>
        <w:pStyle w:val="c40dispositifmarge0avecretrait"/>
        <w:spacing w:after="0" w:line="360" w:lineRule="auto"/>
        <w:ind w:left="0" w:firstLine="567"/>
        <w:rPr>
          <w:rFonts w:ascii="Times New Roman" w:hAnsi="Times New Roman" w:cs="Times New Roman"/>
          <w:b w:val="0"/>
          <w:sz w:val="24"/>
          <w:szCs w:val="24"/>
          <w:lang w:val="bg-BG" w:eastAsia="bg-BG"/>
        </w:rPr>
      </w:pPr>
      <w:r w:rsidRPr="006C05FC">
        <w:rPr>
          <w:rFonts w:ascii="Times New Roman" w:hAnsi="Times New Roman" w:cs="Times New Roman"/>
          <w:b w:val="0"/>
          <w:sz w:val="24"/>
          <w:szCs w:val="24"/>
          <w:lang w:val="bg-BG"/>
        </w:rPr>
        <w:t xml:space="preserve">Струва ми се </w:t>
      </w:r>
      <w:r w:rsidRPr="006C05FC">
        <w:rPr>
          <w:rFonts w:ascii="Times New Roman" w:hAnsi="Times New Roman" w:cs="Times New Roman"/>
          <w:b w:val="0"/>
          <w:bCs w:val="0"/>
          <w:sz w:val="24"/>
          <w:szCs w:val="24"/>
          <w:lang w:val="bg-BG" w:eastAsia="bg-BG"/>
        </w:rPr>
        <w:t>о</w:t>
      </w:r>
      <w:r w:rsidR="00D51B44" w:rsidRPr="006C05FC">
        <w:rPr>
          <w:rFonts w:ascii="Times New Roman" w:hAnsi="Times New Roman" w:cs="Times New Roman"/>
          <w:b w:val="0"/>
          <w:sz w:val="24"/>
          <w:szCs w:val="24"/>
          <w:lang w:val="bg-BG" w:eastAsia="bg-BG"/>
        </w:rPr>
        <w:t xml:space="preserve">собено важно от гледна точка предмета на настоящата статия  </w:t>
      </w:r>
      <w:r w:rsidR="00933BB8" w:rsidRPr="006C05FC">
        <w:rPr>
          <w:rFonts w:ascii="Times New Roman" w:hAnsi="Times New Roman" w:cs="Times New Roman"/>
          <w:b w:val="0"/>
          <w:sz w:val="24"/>
          <w:szCs w:val="24"/>
          <w:lang w:val="bg-BG" w:eastAsia="bg-BG"/>
        </w:rPr>
        <w:t>обстоятелството</w:t>
      </w:r>
      <w:r w:rsidR="00D51B44" w:rsidRPr="006C05FC">
        <w:rPr>
          <w:rFonts w:ascii="Times New Roman" w:hAnsi="Times New Roman" w:cs="Times New Roman"/>
          <w:b w:val="0"/>
          <w:sz w:val="24"/>
          <w:szCs w:val="24"/>
          <w:lang w:val="bg-BG" w:eastAsia="bg-BG"/>
        </w:rPr>
        <w:t xml:space="preserve">, че в аргументацията на ПИС/Общия съд се прави ясно разграничение между общото международно право и правото на ЕС, по подразбиране схващано като партикуларно (аргумент от § 257). </w:t>
      </w:r>
      <w:r w:rsidRPr="006C05FC">
        <w:rPr>
          <w:rFonts w:ascii="Times New Roman" w:hAnsi="Times New Roman" w:cs="Times New Roman"/>
          <w:b w:val="0"/>
          <w:sz w:val="24"/>
          <w:szCs w:val="24"/>
          <w:lang w:val="bg-BG" w:eastAsia="bg-BG"/>
        </w:rPr>
        <w:t>Поради това в резултат от анализа на тази съдебна практика бих обосновала извод, че първичното право на ЕС е партикуларно международно право с уникални особености: прехвърляне на суверенни права от държавите-членки върху Общността/Съюза.</w:t>
      </w:r>
      <w:r w:rsidR="000139CF" w:rsidRPr="006C05FC">
        <w:rPr>
          <w:rFonts w:ascii="Times New Roman" w:hAnsi="Times New Roman" w:cs="Times New Roman"/>
          <w:b w:val="0"/>
          <w:sz w:val="24"/>
          <w:szCs w:val="24"/>
          <w:lang w:val="bg-BG" w:eastAsia="bg-BG"/>
        </w:rPr>
        <w:t xml:space="preserve"> Струва ми се, че този довод може да бъде привеждан и в доктриналните спорове относно същността на правото на ЕС като уникална </w:t>
      </w:r>
      <w:r w:rsidR="000139CF" w:rsidRPr="006C05FC">
        <w:rPr>
          <w:rFonts w:ascii="Times New Roman" w:hAnsi="Times New Roman" w:cs="Times New Roman"/>
          <w:b w:val="0"/>
          <w:i/>
          <w:sz w:val="24"/>
          <w:szCs w:val="24"/>
          <w:lang w:eastAsia="bg-BG"/>
        </w:rPr>
        <w:t>sui</w:t>
      </w:r>
      <w:r w:rsidR="000139CF" w:rsidRPr="006C05FC">
        <w:rPr>
          <w:rFonts w:ascii="Times New Roman" w:hAnsi="Times New Roman" w:cs="Times New Roman"/>
          <w:b w:val="0"/>
          <w:i/>
          <w:sz w:val="24"/>
          <w:szCs w:val="24"/>
          <w:lang w:val="bg-BG" w:eastAsia="bg-BG"/>
        </w:rPr>
        <w:t xml:space="preserve"> </w:t>
      </w:r>
      <w:r w:rsidR="000139CF" w:rsidRPr="006C05FC">
        <w:rPr>
          <w:rFonts w:ascii="Times New Roman" w:hAnsi="Times New Roman" w:cs="Times New Roman"/>
          <w:b w:val="0"/>
          <w:i/>
          <w:sz w:val="24"/>
          <w:szCs w:val="24"/>
          <w:lang w:eastAsia="bg-BG"/>
        </w:rPr>
        <w:t>generis</w:t>
      </w:r>
      <w:r w:rsidR="000139CF" w:rsidRPr="006C05FC">
        <w:rPr>
          <w:rFonts w:ascii="Times New Roman" w:hAnsi="Times New Roman" w:cs="Times New Roman"/>
          <w:b w:val="0"/>
          <w:sz w:val="24"/>
          <w:szCs w:val="24"/>
          <w:lang w:val="bg-BG" w:eastAsia="bg-BG"/>
        </w:rPr>
        <w:t xml:space="preserve"> правна система.</w:t>
      </w:r>
    </w:p>
    <w:p w:rsidR="00F31F59" w:rsidRPr="006C05FC" w:rsidRDefault="000139CF" w:rsidP="00341969">
      <w:pPr>
        <w:pStyle w:val="c40dispositifmarge0avecretrait"/>
        <w:spacing w:after="0" w:line="360" w:lineRule="auto"/>
        <w:ind w:left="0" w:firstLine="567"/>
        <w:rPr>
          <w:rFonts w:ascii="Times New Roman" w:hAnsi="Times New Roman" w:cs="Times New Roman"/>
          <w:b w:val="0"/>
          <w:sz w:val="24"/>
          <w:szCs w:val="24"/>
          <w:lang w:val="bg-BG" w:eastAsia="bg-BG"/>
        </w:rPr>
      </w:pPr>
      <w:r w:rsidRPr="006C05FC">
        <w:rPr>
          <w:rFonts w:ascii="Times New Roman" w:hAnsi="Times New Roman" w:cs="Times New Roman"/>
          <w:b w:val="0"/>
          <w:sz w:val="24"/>
          <w:szCs w:val="24"/>
          <w:lang w:val="bg-BG" w:eastAsia="bg-BG"/>
        </w:rPr>
        <w:t>Допринася ли тази конструкция за фрагментирането на съвременното международно публично право предстои да бъде доказвано.</w:t>
      </w:r>
    </w:p>
    <w:p w:rsidR="00F55921" w:rsidRPr="006C05FC" w:rsidRDefault="00F55921" w:rsidP="00341969">
      <w:pPr>
        <w:autoSpaceDE w:val="0"/>
        <w:autoSpaceDN w:val="0"/>
        <w:spacing w:after="0" w:line="360" w:lineRule="auto"/>
        <w:ind w:firstLine="708"/>
        <w:jc w:val="both"/>
        <w:rPr>
          <w:rFonts w:eastAsia="Times New Roman"/>
          <w:bCs/>
          <w:sz w:val="24"/>
          <w:szCs w:val="24"/>
          <w:lang w:eastAsia="bg-BG"/>
        </w:rPr>
      </w:pPr>
    </w:p>
    <w:p w:rsidR="005E4D58" w:rsidRPr="006C05FC" w:rsidRDefault="005E4D58" w:rsidP="00341969">
      <w:pPr>
        <w:autoSpaceDE w:val="0"/>
        <w:autoSpaceDN w:val="0"/>
        <w:spacing w:after="0" w:line="360" w:lineRule="auto"/>
        <w:ind w:firstLine="708"/>
        <w:jc w:val="both"/>
        <w:rPr>
          <w:rFonts w:eastAsia="Times New Roman"/>
          <w:bCs/>
          <w:sz w:val="24"/>
          <w:szCs w:val="24"/>
          <w:lang w:eastAsia="bg-BG"/>
        </w:rPr>
      </w:pPr>
    </w:p>
    <w:p w:rsidR="00171DC8" w:rsidRPr="006C05FC" w:rsidRDefault="00171DC8" w:rsidP="00341969">
      <w:pPr>
        <w:spacing w:after="0" w:line="360" w:lineRule="auto"/>
        <w:jc w:val="both"/>
        <w:rPr>
          <w:rFonts w:eastAsia="Times New Roman"/>
          <w:sz w:val="24"/>
          <w:szCs w:val="24"/>
          <w:lang w:eastAsia="bg-BG"/>
        </w:rPr>
      </w:pPr>
      <w:r w:rsidRPr="006C05FC">
        <w:rPr>
          <w:rFonts w:eastAsia="Times New Roman"/>
          <w:sz w:val="24"/>
          <w:szCs w:val="24"/>
          <w:lang w:eastAsia="bg-BG"/>
        </w:rPr>
        <w:tab/>
      </w:r>
    </w:p>
    <w:sectPr w:rsidR="00171DC8" w:rsidRPr="006C05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95" w:rsidRDefault="002F1D95" w:rsidP="00171DC8">
      <w:pPr>
        <w:spacing w:after="0" w:line="240" w:lineRule="auto"/>
      </w:pPr>
      <w:r>
        <w:separator/>
      </w:r>
    </w:p>
  </w:endnote>
  <w:endnote w:type="continuationSeparator" w:id="0">
    <w:p w:rsidR="002F1D95" w:rsidRDefault="002F1D95" w:rsidP="0017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88" w:rsidRDefault="00FC0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124265"/>
      <w:docPartObj>
        <w:docPartGallery w:val="Page Numbers (Bottom of Page)"/>
        <w:docPartUnique/>
      </w:docPartObj>
    </w:sdtPr>
    <w:sdtEndPr>
      <w:rPr>
        <w:noProof/>
      </w:rPr>
    </w:sdtEndPr>
    <w:sdtContent>
      <w:p w:rsidR="001C4295" w:rsidRDefault="001C4295">
        <w:pPr>
          <w:pStyle w:val="Footer"/>
          <w:jc w:val="right"/>
        </w:pPr>
        <w:r>
          <w:fldChar w:fldCharType="begin"/>
        </w:r>
        <w:r>
          <w:instrText xml:space="preserve"> PAGE   \* MERGEFORMAT </w:instrText>
        </w:r>
        <w:r>
          <w:fldChar w:fldCharType="separate"/>
        </w:r>
        <w:r w:rsidR="00FC0888">
          <w:rPr>
            <w:noProof/>
          </w:rPr>
          <w:t>1</w:t>
        </w:r>
        <w:r>
          <w:rPr>
            <w:noProof/>
          </w:rPr>
          <w:fldChar w:fldCharType="end"/>
        </w:r>
      </w:p>
    </w:sdtContent>
  </w:sdt>
  <w:p w:rsidR="001C4295" w:rsidRDefault="001C4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88" w:rsidRDefault="00FC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95" w:rsidRDefault="002F1D95" w:rsidP="00171DC8">
      <w:pPr>
        <w:spacing w:after="0" w:line="240" w:lineRule="auto"/>
      </w:pPr>
      <w:r>
        <w:separator/>
      </w:r>
    </w:p>
  </w:footnote>
  <w:footnote w:type="continuationSeparator" w:id="0">
    <w:p w:rsidR="002F1D95" w:rsidRDefault="002F1D95" w:rsidP="00171DC8">
      <w:pPr>
        <w:spacing w:after="0" w:line="240" w:lineRule="auto"/>
      </w:pPr>
      <w:r>
        <w:continuationSeparator/>
      </w:r>
    </w:p>
  </w:footnote>
  <w:footnote w:id="1">
    <w:p w:rsidR="001C4295" w:rsidRPr="001C4295" w:rsidRDefault="001C4295" w:rsidP="001C4295">
      <w:pPr>
        <w:pStyle w:val="FootnoteText"/>
        <w:jc w:val="both"/>
      </w:pPr>
      <w:r>
        <w:rPr>
          <w:rStyle w:val="FootnoteReference"/>
        </w:rPr>
        <w:footnoteRef/>
      </w:r>
      <w:r>
        <w:t xml:space="preserve"> </w:t>
      </w:r>
      <w:r w:rsidRPr="001C4295">
        <w:t>Доктор по право</w:t>
      </w:r>
      <w:r>
        <w:t>, Професор по Международно публично право в Юридическия факултет на ПУ „Паисий Хилендарски“.</w:t>
      </w:r>
    </w:p>
  </w:footnote>
  <w:footnote w:id="2">
    <w:p w:rsidR="00E87C6E" w:rsidRPr="00E87C6E" w:rsidRDefault="00E87C6E" w:rsidP="000139CF">
      <w:pPr>
        <w:pStyle w:val="FootnoteText"/>
        <w:jc w:val="both"/>
      </w:pPr>
      <w:r>
        <w:rPr>
          <w:rStyle w:val="FootnoteReference"/>
        </w:rPr>
        <w:footnoteRef/>
      </w:r>
      <w:r>
        <w:t xml:space="preserve"> </w:t>
      </w:r>
      <w:r w:rsidRPr="00E87C6E">
        <w:t xml:space="preserve">Вж. </w:t>
      </w:r>
      <w:r w:rsidRPr="00E87C6E">
        <w:rPr>
          <w:lang w:val="de-DE"/>
        </w:rPr>
        <w:t>Simma, B., Der Einfluss der Menschenrechte</w:t>
      </w:r>
      <w:r>
        <w:rPr>
          <w:lang w:val="de-DE"/>
        </w:rPr>
        <w:t xml:space="preserve"> auf das Völkerrecht</w:t>
      </w:r>
      <w:r w:rsidRPr="00E87C6E">
        <w:rPr>
          <w:lang w:val="de-DE"/>
        </w:rPr>
        <w:t>: ein Entwurf, in</w:t>
      </w:r>
      <w:r>
        <w:rPr>
          <w:lang w:val="de-DE"/>
        </w:rPr>
        <w:t xml:space="preserve"> </w:t>
      </w:r>
      <w:r w:rsidRPr="00E87C6E">
        <w:rPr>
          <w:lang w:val="de-DE"/>
        </w:rPr>
        <w:t xml:space="preserve">International Law between Universalism and Fragmentation. </w:t>
      </w:r>
      <w:r w:rsidRPr="00E87C6E">
        <w:rPr>
          <w:lang w:val="en-US"/>
        </w:rPr>
        <w:t>Festschrift in Honour of Gerhard Hafner</w:t>
      </w:r>
      <w:r w:rsidRPr="00E87C6E">
        <w:t>,</w:t>
      </w:r>
      <w:r w:rsidRPr="00E87C6E">
        <w:rPr>
          <w:lang w:val="en-US"/>
        </w:rPr>
        <w:t xml:space="preserve"> ed. by Isabelle Buffard, James Crawford, Allain Pellet, Stephan Wittich, Martinus Nijhoff Publishers, Leiden/Boston, </w:t>
      </w:r>
      <w:r>
        <w:rPr>
          <w:lang w:val="en-US"/>
        </w:rPr>
        <w:t>2008, p. 733.</w:t>
      </w:r>
      <w:r w:rsidRPr="00E87C6E">
        <w:rPr>
          <w:lang w:val="en-US"/>
        </w:rPr>
        <w:t xml:space="preserve"> </w:t>
      </w:r>
    </w:p>
    <w:p w:rsidR="00E87C6E" w:rsidRPr="00E87C6E" w:rsidRDefault="00E87C6E" w:rsidP="000139CF">
      <w:pPr>
        <w:pStyle w:val="FootnoteText"/>
        <w:jc w:val="both"/>
      </w:pPr>
    </w:p>
  </w:footnote>
  <w:footnote w:id="3">
    <w:p w:rsidR="00066E13" w:rsidRPr="003161D8" w:rsidRDefault="00066E13" w:rsidP="00341969">
      <w:pPr>
        <w:pStyle w:val="FootnoteText"/>
        <w:jc w:val="both"/>
      </w:pPr>
      <w:r>
        <w:rPr>
          <w:rStyle w:val="FootnoteReference"/>
        </w:rPr>
        <w:footnoteRef/>
      </w:r>
      <w:r>
        <w:t xml:space="preserve"> </w:t>
      </w:r>
      <w:r w:rsidRPr="003A09CC">
        <w:t>Комитетът срещу Ал Кайда и Талибаните е създаден с рез. 1267 (1999) на 15 октомври 1999 г.</w:t>
      </w:r>
      <w:r w:rsidRPr="003161D8">
        <w:rPr>
          <w:sz w:val="24"/>
          <w:szCs w:val="24"/>
        </w:rPr>
        <w:t xml:space="preserve"> </w:t>
      </w:r>
      <w:r w:rsidRPr="00115809">
        <w:t>Състои се от всички членове на СС</w:t>
      </w:r>
      <w:r w:rsidRPr="00115809">
        <w:rPr>
          <w:sz w:val="24"/>
          <w:szCs w:val="24"/>
        </w:rPr>
        <w:t xml:space="preserve"> </w:t>
      </w:r>
      <w:r>
        <w:t xml:space="preserve">на ООН. В резолюцията се </w:t>
      </w:r>
      <w:r w:rsidRPr="003161D8">
        <w:t>осъжда факта, че територията на Афганистан се използва за даване на подслон  и обучение на терористи и планиране на терористични актове</w:t>
      </w:r>
      <w:r>
        <w:t>. П</w:t>
      </w:r>
      <w:r w:rsidRPr="003161D8">
        <w:t xml:space="preserve">отвърждава </w:t>
      </w:r>
      <w:r>
        <w:t xml:space="preserve">се </w:t>
      </w:r>
      <w:r w:rsidRPr="003161D8">
        <w:t>убеждението, че премахването на международния тероризъм е същностно за поддържането на международния мир и сигурност. Отраз</w:t>
      </w:r>
      <w:r>
        <w:t>ен</w:t>
      </w:r>
      <w:r w:rsidRPr="003161D8">
        <w:t xml:space="preserve"> е фактът, че </w:t>
      </w:r>
      <w:r>
        <w:t>Т</w:t>
      </w:r>
      <w:r w:rsidRPr="003161D8">
        <w:t xml:space="preserve">алибаните осигуряват сигурно убежище на Осама бин Ладен и му позволяват да ръководи мрежа от терористични лагери за тренировка и </w:t>
      </w:r>
      <w:r>
        <w:t>че</w:t>
      </w:r>
      <w:r w:rsidRPr="003161D8">
        <w:t xml:space="preserve"> използва Афганистан като база за международен тероризъм.</w:t>
      </w:r>
    </w:p>
    <w:p w:rsidR="00066E13" w:rsidRPr="00115809" w:rsidRDefault="00066E13" w:rsidP="00933BB8">
      <w:pPr>
        <w:pStyle w:val="FootnoteText"/>
        <w:ind w:firstLine="708"/>
        <w:jc w:val="both"/>
      </w:pPr>
      <w:r w:rsidRPr="00115809">
        <w:t>В § 2 от резолюцията СС настоява Талибаните да предадат незабавно Осама бин Ладен на властите. За да се осигури това искане</w:t>
      </w:r>
      <w:r w:rsidR="00681595">
        <w:t>,</w:t>
      </w:r>
      <w:r w:rsidRPr="00115809">
        <w:t xml:space="preserve"> в § 4 (b) на Рез. 1267 (1999) се пр</w:t>
      </w:r>
      <w:r>
        <w:t>е</w:t>
      </w:r>
      <w:r w:rsidRPr="00115809">
        <w:t xml:space="preserve">движда държавите да замразят </w:t>
      </w:r>
      <w:r w:rsidRPr="000F4626">
        <w:t>средства</w:t>
      </w:r>
      <w:r w:rsidRPr="00115809">
        <w:t xml:space="preserve"> и други парични ресурси, включително</w:t>
      </w:r>
      <w:r>
        <w:t xml:space="preserve"> авоари</w:t>
      </w:r>
      <w:r w:rsidRPr="00115809">
        <w:t xml:space="preserve">, произхождащи или получени от собственост, притежавана или контролирана пряко или непряко от Талибаните или от предприятия, притежавани или контролирани от </w:t>
      </w:r>
      <w:r>
        <w:t xml:space="preserve">тях. Освен това чрез резолюцията  следва </w:t>
      </w:r>
      <w:r w:rsidRPr="00115809">
        <w:t>да</w:t>
      </w:r>
      <w:r>
        <w:t xml:space="preserve"> се</w:t>
      </w:r>
      <w:r w:rsidRPr="00115809">
        <w:t xml:space="preserve"> осигур</w:t>
      </w:r>
      <w:r>
        <w:t>и</w:t>
      </w:r>
      <w:r w:rsidRPr="00115809">
        <w:t xml:space="preserve">, че никакви други средства или </w:t>
      </w:r>
      <w:r w:rsidR="00681595" w:rsidRPr="00115809">
        <w:t>финансови</w:t>
      </w:r>
      <w:r w:rsidRPr="00115809">
        <w:t xml:space="preserve"> ресурси няма да са налице в полза на Талибаните чрез техни граждани или други лица на тяхна територия, с изключени</w:t>
      </w:r>
      <w:r>
        <w:t>е</w:t>
      </w:r>
      <w:r w:rsidRPr="00115809">
        <w:t xml:space="preserve"> на тези, разрешени за всеки отделен случай от СС на основание хуманитарни нужди.</w:t>
      </w:r>
    </w:p>
    <w:p w:rsidR="00066E13" w:rsidRPr="003A09CC" w:rsidRDefault="00066E13" w:rsidP="00933BB8">
      <w:pPr>
        <w:pStyle w:val="FootnoteText"/>
        <w:ind w:firstLine="708"/>
        <w:jc w:val="both"/>
      </w:pPr>
      <w:r w:rsidRPr="003A09CC">
        <w:t>Режимът на санкциите е променян и засилван многократно с последователни резолюции, включително рез. 1333 (2000), 1390 (2002), 1455 (2003), 1526 (2004), 1617 (2005), 1735 (2006)</w:t>
      </w:r>
      <w:r>
        <w:t>,</w:t>
      </w:r>
      <w:r w:rsidRPr="003A09CC">
        <w:t xml:space="preserve"> 1822 (2008),</w:t>
      </w:r>
      <w:r>
        <w:t xml:space="preserve"> 1904 </w:t>
      </w:r>
      <w:r w:rsidRPr="00675438">
        <w:t>(200</w:t>
      </w:r>
      <w:r>
        <w:t>9</w:t>
      </w:r>
      <w:r w:rsidRPr="00675438">
        <w:t>),</w:t>
      </w:r>
      <w:r>
        <w:t xml:space="preserve"> 1989 </w:t>
      </w:r>
      <w:r w:rsidRPr="00675438">
        <w:t>(20</w:t>
      </w:r>
      <w:r>
        <w:t xml:space="preserve">11) и 2083 </w:t>
      </w:r>
      <w:r w:rsidRPr="00675438">
        <w:t>(20</w:t>
      </w:r>
      <w:r>
        <w:t>12</w:t>
      </w:r>
      <w:r w:rsidRPr="00675438">
        <w:t>),</w:t>
      </w:r>
      <w:r w:rsidRPr="003A09CC">
        <w:t xml:space="preserve"> за да могат тези санкции да се прилагат към посочени индивиди и организации, свързани с Ал Кайда, Осама бин Ладен и/или Талибаните, където и да се намират. Имената на визираните индивиди и групи са изброени в Консолидиран списък. Всяка държава може да поиска да се добавят имена в този</w:t>
      </w:r>
      <w:r>
        <w:t xml:space="preserve"> </w:t>
      </w:r>
      <w:r w:rsidRPr="003A09CC">
        <w:t>списък. Комитетът разглежда предложения на страните да се заличат имена от списъка. Вж.</w:t>
      </w:r>
      <w:r w:rsidRPr="00675438">
        <w:t xml:space="preserve"> http://www.un.org/sc/committees/1267/</w:t>
      </w:r>
      <w:r>
        <w:t>.</w:t>
      </w:r>
    </w:p>
  </w:footnote>
  <w:footnote w:id="4">
    <w:p w:rsidR="00066E13" w:rsidRPr="0018751D" w:rsidRDefault="00066E13" w:rsidP="00341969">
      <w:pPr>
        <w:pStyle w:val="FootnoteText"/>
        <w:jc w:val="both"/>
      </w:pPr>
      <w:r>
        <w:rPr>
          <w:rStyle w:val="FootnoteReference"/>
        </w:rPr>
        <w:footnoteRef/>
      </w:r>
      <w:r>
        <w:t xml:space="preserve"> </w:t>
      </w:r>
      <w:r w:rsidRPr="003A36A1">
        <w:t xml:space="preserve">Judgment of the Court of first instance in Case T-306/01, </w:t>
      </w:r>
      <w:r>
        <w:t>А</w:t>
      </w:r>
      <w:r w:rsidRPr="003A36A1">
        <w:t xml:space="preserve">hmed </w:t>
      </w:r>
      <w:r>
        <w:t>А</w:t>
      </w:r>
      <w:r w:rsidRPr="003A36A1">
        <w:t>li Yu</w:t>
      </w:r>
      <w:r>
        <w:t>s</w:t>
      </w:r>
      <w:r w:rsidRPr="003A36A1">
        <w:t>uf, Al Barakaat International Foundation v. Council of the European Union and the Commission of the European Communities, supported by United Kingdom of Great Britain and Northern Ireland, 21 September 2005</w:t>
      </w:r>
      <w:r>
        <w:t xml:space="preserve">. Вж. също Case T-306/01, </w:t>
      </w:r>
      <w:r w:rsidRPr="0018751D">
        <w:rPr>
          <w:i/>
        </w:rPr>
        <w:t xml:space="preserve">Yusuf </w:t>
      </w:r>
      <w:r>
        <w:t xml:space="preserve"> [2005] ECR, </w:t>
      </w:r>
      <w:r w:rsidRPr="0018751D">
        <w:t>II</w:t>
      </w:r>
      <w:r>
        <w:t xml:space="preserve">-3533, Case T-315/01, </w:t>
      </w:r>
      <w:r w:rsidRPr="0018751D">
        <w:rPr>
          <w:i/>
        </w:rPr>
        <w:t>Kadi</w:t>
      </w:r>
      <w:r>
        <w:t xml:space="preserve"> </w:t>
      </w:r>
      <w:r w:rsidRPr="0018751D">
        <w:t>[2005]</w:t>
      </w:r>
      <w:r>
        <w:t xml:space="preserve"> ECR, </w:t>
      </w:r>
      <w:r w:rsidRPr="0018751D">
        <w:t>II</w:t>
      </w:r>
      <w:r>
        <w:t>-3649.</w:t>
      </w:r>
    </w:p>
  </w:footnote>
  <w:footnote w:id="5">
    <w:p w:rsidR="00066E13" w:rsidRPr="00547488" w:rsidRDefault="00066E13" w:rsidP="00341969">
      <w:pPr>
        <w:pStyle w:val="FootnoteText"/>
        <w:jc w:val="both"/>
      </w:pPr>
      <w:r>
        <w:rPr>
          <w:rStyle w:val="FootnoteReference"/>
        </w:rPr>
        <w:footnoteRef/>
      </w:r>
      <w:r>
        <w:t xml:space="preserve"> </w:t>
      </w:r>
      <w:r w:rsidRPr="00957DF9">
        <w:t>Решение по дело С-402/05 от 3.09.2008 г.</w:t>
      </w:r>
    </w:p>
  </w:footnote>
  <w:footnote w:id="6">
    <w:p w:rsidR="00B729E5" w:rsidRPr="003821A7" w:rsidRDefault="00B729E5" w:rsidP="00341969">
      <w:pPr>
        <w:pStyle w:val="FootnoteText"/>
        <w:jc w:val="both"/>
      </w:pPr>
      <w:r>
        <w:rPr>
          <w:rStyle w:val="FootnoteReference"/>
        </w:rPr>
        <w:footnoteRef/>
      </w:r>
      <w:r w:rsidRPr="005D3E17">
        <w:t xml:space="preserve"> </w:t>
      </w:r>
      <w:r w:rsidRPr="003821A7">
        <w:t xml:space="preserve">Чл. 1 от ДЕС, Договори </w:t>
      </w:r>
      <w:r>
        <w:t>н</w:t>
      </w:r>
      <w:r w:rsidRPr="003821A7">
        <w:t>а ЕС. Съдебна практика, „Сиби”, С., 2009, с. 33.</w:t>
      </w:r>
    </w:p>
  </w:footnote>
  <w:footnote w:id="7">
    <w:p w:rsidR="00B729E5" w:rsidRPr="003545BA" w:rsidRDefault="00B729E5" w:rsidP="0093529E">
      <w:pPr>
        <w:pStyle w:val="FootnoteText"/>
        <w:jc w:val="both"/>
      </w:pPr>
      <w:r>
        <w:rPr>
          <w:rStyle w:val="FootnoteReference"/>
        </w:rPr>
        <w:footnoteRef/>
      </w:r>
      <w:r>
        <w:t xml:space="preserve"> </w:t>
      </w:r>
      <w:r w:rsidRPr="00666B68">
        <w:t>Official Journal 1999 L 294, p. 1</w:t>
      </w:r>
      <w:r>
        <w:t>.</w:t>
      </w:r>
    </w:p>
  </w:footnote>
  <w:footnote w:id="8">
    <w:p w:rsidR="00B729E5" w:rsidRPr="00086EC9" w:rsidRDefault="00B729E5" w:rsidP="0093529E">
      <w:pPr>
        <w:pStyle w:val="FootnoteText"/>
        <w:jc w:val="both"/>
      </w:pPr>
      <w:r>
        <w:rPr>
          <w:rStyle w:val="FootnoteReference"/>
        </w:rPr>
        <w:footnoteRef/>
      </w:r>
      <w:r>
        <w:t xml:space="preserve"> </w:t>
      </w:r>
      <w:r w:rsidRPr="00086EC9">
        <w:t>Regulation (EC) Nr. 467/2001 prohibiting the export of certain goods and services to Afghanistan, strengthening the flight ban and extending the freeze of funds and other financial resources in respect of the Taliban of Afghanistan, and repealing Regulation 337/2000, OJ 2000 L 67, p. 1.</w:t>
      </w:r>
    </w:p>
  </w:footnote>
  <w:footnote w:id="9">
    <w:p w:rsidR="00B729E5" w:rsidRPr="00852430" w:rsidRDefault="00B729E5" w:rsidP="0093529E">
      <w:pPr>
        <w:pStyle w:val="FootnoteText"/>
        <w:jc w:val="both"/>
      </w:pPr>
      <w:r>
        <w:rPr>
          <w:rStyle w:val="FootnoteReference"/>
        </w:rPr>
        <w:footnoteRef/>
      </w:r>
      <w:r w:rsidRPr="00EF263F">
        <w:t xml:space="preserve"> </w:t>
      </w:r>
      <w:r w:rsidRPr="00852430">
        <w:rPr>
          <w:lang w:val="en-GB"/>
        </w:rPr>
        <w:t>OJ</w:t>
      </w:r>
      <w:r w:rsidRPr="00852430">
        <w:t xml:space="preserve"> 2001 </w:t>
      </w:r>
      <w:r w:rsidRPr="00852430">
        <w:rPr>
          <w:lang w:val="en-GB"/>
        </w:rPr>
        <w:t>L</w:t>
      </w:r>
      <w:r w:rsidRPr="00852430">
        <w:t xml:space="preserve"> 295, </w:t>
      </w:r>
      <w:r w:rsidRPr="00852430">
        <w:rPr>
          <w:lang w:val="en-GB"/>
        </w:rPr>
        <w:t>p</w:t>
      </w:r>
      <w:r w:rsidRPr="00852430">
        <w:t>. 16.</w:t>
      </w:r>
    </w:p>
  </w:footnote>
  <w:footnote w:id="10">
    <w:p w:rsidR="00B729E5" w:rsidRPr="00852430" w:rsidRDefault="00B729E5" w:rsidP="0093529E">
      <w:pPr>
        <w:pStyle w:val="FootnoteText"/>
        <w:jc w:val="both"/>
      </w:pPr>
      <w:r>
        <w:rPr>
          <w:rStyle w:val="FootnoteReference"/>
        </w:rPr>
        <w:footnoteRef/>
      </w:r>
      <w:r w:rsidRPr="00852430">
        <w:t xml:space="preserve"> </w:t>
      </w:r>
      <w:r w:rsidRPr="00852430">
        <w:rPr>
          <w:lang w:val="en-GB"/>
        </w:rPr>
        <w:t>OJ</w:t>
      </w:r>
      <w:r w:rsidRPr="00852430">
        <w:t xml:space="preserve"> 2002 </w:t>
      </w:r>
      <w:r w:rsidRPr="00852430">
        <w:rPr>
          <w:lang w:val="en-GB"/>
        </w:rPr>
        <w:t>L</w:t>
      </w:r>
      <w:r w:rsidRPr="00852430">
        <w:t xml:space="preserve"> 139, </w:t>
      </w:r>
      <w:r w:rsidRPr="00852430">
        <w:rPr>
          <w:lang w:val="en-GB"/>
        </w:rPr>
        <w:t>p</w:t>
      </w:r>
      <w:r w:rsidRPr="00852430">
        <w:t>. 9</w:t>
      </w:r>
      <w:r>
        <w:t>.</w:t>
      </w:r>
      <w:r w:rsidRPr="00796853">
        <w:rPr>
          <w:sz w:val="24"/>
          <w:szCs w:val="24"/>
        </w:rPr>
        <w:t xml:space="preserve"> </w:t>
      </w:r>
      <w:r w:rsidRPr="00796853">
        <w:t xml:space="preserve">Анекс </w:t>
      </w:r>
      <w:r w:rsidRPr="00796853">
        <w:rPr>
          <w:lang w:val="en-GB"/>
        </w:rPr>
        <w:t>I</w:t>
      </w:r>
      <w:r w:rsidRPr="00796853">
        <w:t xml:space="preserve">  към Регламент </w:t>
      </w:r>
      <w:r w:rsidRPr="00796853">
        <w:rPr>
          <w:lang w:val="en-GB"/>
        </w:rPr>
        <w:t>No</w:t>
      </w:r>
      <w:r w:rsidRPr="00796853">
        <w:t xml:space="preserve"> 881/2002  съдържа списък от лица, включително Международната фондация Баракаат, Аден Абдирисак, Али Абди Абдулазис и Али Юсуф  Ахмед.</w:t>
      </w:r>
    </w:p>
  </w:footnote>
  <w:footnote w:id="11">
    <w:p w:rsidR="002E3B38" w:rsidRPr="002E3B38" w:rsidRDefault="002E3B38" w:rsidP="0093529E">
      <w:pPr>
        <w:pStyle w:val="FootnoteText"/>
        <w:jc w:val="both"/>
      </w:pPr>
      <w:r>
        <w:rPr>
          <w:rStyle w:val="FootnoteReference"/>
        </w:rPr>
        <w:footnoteRef/>
      </w:r>
      <w:r>
        <w:t xml:space="preserve"> </w:t>
      </w:r>
      <w:r w:rsidRPr="002E3B38">
        <w:t>Междувременно Аден и Али Абди информират Съда, в съответствие с чл. 99 от Правилата за процедурата, че желаят да преустановят тяхния иск и че ще сключат споразумение с ответниците за разноските, защото са заличени от списъка по искане на Швеция. Председателят на втората камара на ПИС, с определение от 9 октомври 2003 г. нарежда имената на двама да бъдат заличени от регистъра.</w:t>
      </w:r>
    </w:p>
    <w:p w:rsidR="002E3B38" w:rsidRPr="002E3B38" w:rsidRDefault="002E3B38" w:rsidP="002E3B38">
      <w:pPr>
        <w:pStyle w:val="FootnoteText"/>
        <w:jc w:val="both"/>
      </w:pPr>
    </w:p>
  </w:footnote>
  <w:footnote w:id="12">
    <w:p w:rsidR="00F94202" w:rsidRPr="007C05F9" w:rsidRDefault="00F94202" w:rsidP="0093529E">
      <w:pPr>
        <w:pStyle w:val="FootnoteText"/>
        <w:jc w:val="both"/>
      </w:pPr>
      <w:r w:rsidRPr="007C05F9">
        <w:rPr>
          <w:rStyle w:val="FootnoteReference"/>
        </w:rPr>
        <w:footnoteRef/>
      </w:r>
      <w:r w:rsidRPr="00852430">
        <w:t xml:space="preserve"> </w:t>
      </w:r>
      <w:r w:rsidRPr="007C05F9">
        <w:t>Вж. Попова, Ж</w:t>
      </w:r>
      <w:r w:rsidR="00EC6E02">
        <w:t>.</w:t>
      </w:r>
      <w:r w:rsidRPr="007C05F9">
        <w:t>,</w:t>
      </w:r>
      <w:r w:rsidRPr="00042C88">
        <w:rPr>
          <w:rFonts w:eastAsia="Times New Roman"/>
          <w:b/>
          <w:sz w:val="24"/>
          <w:szCs w:val="24"/>
          <w:lang w:eastAsia="bg-BG"/>
        </w:rPr>
        <w:t xml:space="preserve"> </w:t>
      </w:r>
      <w:r w:rsidRPr="00042C88">
        <w:t>Ос</w:t>
      </w:r>
      <w:r>
        <w:t>нови на правото на ЕС. С., 2006.</w:t>
      </w:r>
      <w:r w:rsidRPr="00042C88">
        <w:t xml:space="preserve"> </w:t>
      </w:r>
    </w:p>
  </w:footnote>
  <w:footnote w:id="13">
    <w:p w:rsidR="00EC6E02" w:rsidRPr="00EC6E02" w:rsidRDefault="00EC6E02" w:rsidP="0093529E">
      <w:pPr>
        <w:pStyle w:val="FootnoteText"/>
        <w:jc w:val="both"/>
      </w:pPr>
      <w:r>
        <w:rPr>
          <w:rStyle w:val="FootnoteReference"/>
        </w:rPr>
        <w:footnoteRef/>
      </w:r>
      <w:r>
        <w:t xml:space="preserve"> </w:t>
      </w:r>
      <w:r w:rsidRPr="00EC6E02">
        <w:t>Вж. Попова, Ж</w:t>
      </w:r>
      <w:r>
        <w:t>.</w:t>
      </w:r>
      <w:r w:rsidRPr="00EC6E02">
        <w:t>, Право на Европейския съюз, Сиела, С., 2009, с. 38 – 40</w:t>
      </w:r>
    </w:p>
  </w:footnote>
  <w:footnote w:id="14">
    <w:p w:rsidR="00EC6E02" w:rsidRDefault="00EC6E02" w:rsidP="0093529E">
      <w:pPr>
        <w:pStyle w:val="FootnoteText"/>
        <w:jc w:val="both"/>
      </w:pPr>
      <w:r>
        <w:rPr>
          <w:rStyle w:val="FootnoteReference"/>
        </w:rPr>
        <w:footnoteRef/>
      </w:r>
      <w:r>
        <w:t xml:space="preserve"> </w:t>
      </w:r>
      <w:r w:rsidRPr="00EC6E02">
        <w:t>Попова, Ж</w:t>
      </w:r>
      <w:r>
        <w:t>.</w:t>
      </w:r>
      <w:r w:rsidRPr="00EC6E02">
        <w:t>, цит. съч., с. 39.</w:t>
      </w:r>
    </w:p>
    <w:p w:rsidR="0093529E" w:rsidRDefault="0093529E" w:rsidP="0093529E">
      <w:pPr>
        <w:pStyle w:val="FootnoteText"/>
        <w:jc w:val="both"/>
      </w:pPr>
    </w:p>
  </w:footnote>
  <w:footnote w:id="15">
    <w:p w:rsidR="00F94202" w:rsidRPr="00E91BD2" w:rsidRDefault="00F94202" w:rsidP="00554591">
      <w:pPr>
        <w:pStyle w:val="FootnoteText"/>
        <w:jc w:val="both"/>
      </w:pPr>
      <w:r>
        <w:rPr>
          <w:rStyle w:val="FootnoteReference"/>
        </w:rPr>
        <w:footnoteRef/>
      </w:r>
      <w:r w:rsidRPr="00F70CF2">
        <w:t xml:space="preserve"> </w:t>
      </w:r>
      <w:r w:rsidRPr="00E91BD2">
        <w:rPr>
          <w:lang w:val="en-GB"/>
        </w:rPr>
        <w:t xml:space="preserve">Opinions of Advocate General Jacobs in Case C-84/95 </w:t>
      </w:r>
      <w:r w:rsidRPr="00E91BD2">
        <w:rPr>
          <w:i/>
          <w:iCs/>
          <w:lang w:val="en-GB"/>
        </w:rPr>
        <w:t>Bosphorus</w:t>
      </w:r>
      <w:r w:rsidRPr="00E91BD2">
        <w:rPr>
          <w:lang w:val="en-GB"/>
        </w:rPr>
        <w:t xml:space="preserve"> [1996] ECR I-3953, at I-3956, paragraph 2, and Case C-177/95 </w:t>
      </w:r>
      <w:r w:rsidRPr="00E91BD2">
        <w:rPr>
          <w:i/>
          <w:iCs/>
          <w:lang w:val="en-GB"/>
        </w:rPr>
        <w:t>Ebony Maritime and Loten Navigation</w:t>
      </w:r>
      <w:r w:rsidRPr="00E91BD2">
        <w:rPr>
          <w:lang w:val="en-GB"/>
        </w:rPr>
        <w:t xml:space="preserve"> [1997] ECR I-1111, at I-1115, paragraph 27).</w:t>
      </w:r>
      <w:r w:rsidRPr="00E91BD2">
        <w:t xml:space="preserve"> §239</w:t>
      </w:r>
    </w:p>
  </w:footnote>
  <w:footnote w:id="16">
    <w:p w:rsidR="00EC6E02" w:rsidRPr="00EC6E02" w:rsidRDefault="00EC6E02" w:rsidP="00554591">
      <w:pPr>
        <w:pStyle w:val="FootnoteText"/>
        <w:jc w:val="both"/>
      </w:pPr>
      <w:r>
        <w:rPr>
          <w:rStyle w:val="FootnoteReference"/>
        </w:rPr>
        <w:footnoteRef/>
      </w:r>
      <w:r>
        <w:t xml:space="preserve"> </w:t>
      </w:r>
      <w:r w:rsidRPr="00EC6E02">
        <w:t>Белова, Г.</w:t>
      </w:r>
      <w:r w:rsidRPr="00EC6E02">
        <w:rPr>
          <w:i/>
        </w:rPr>
        <w:t xml:space="preserve">, </w:t>
      </w:r>
      <w:r w:rsidRPr="00EC6E02">
        <w:t>Връзки и взаимодействие между правото на Европейския съюз и международното право</w:t>
      </w:r>
      <w:r w:rsidRPr="00EC6E02">
        <w:rPr>
          <w:i/>
        </w:rPr>
        <w:t>,</w:t>
      </w:r>
      <w:r w:rsidRPr="00EC6E02">
        <w:t xml:space="preserve"> Актуални проблеми, аспекти и перспективи на международните отношения, том втори, Катедра </w:t>
      </w:r>
      <w:r w:rsidRPr="00CB494F">
        <w:rPr>
          <w:i/>
        </w:rPr>
        <w:t>„Международно право и международни отношения”</w:t>
      </w:r>
      <w:r w:rsidRPr="00EC6E02">
        <w:t xml:space="preserve">, Правно-исторически факултет, ЮЗУ </w:t>
      </w:r>
      <w:r w:rsidRPr="00CB494F">
        <w:rPr>
          <w:i/>
        </w:rPr>
        <w:t>„Н. Рилски”</w:t>
      </w:r>
      <w:r w:rsidRPr="00EC6E02">
        <w:t xml:space="preserve">, Благоевград, </w:t>
      </w:r>
      <w:r>
        <w:t xml:space="preserve">2010, </w:t>
      </w:r>
      <w:r w:rsidRPr="00EC6E02">
        <w:t>с.</w:t>
      </w:r>
      <w:r>
        <w:t xml:space="preserve"> 48.</w:t>
      </w:r>
    </w:p>
  </w:footnote>
  <w:footnote w:id="17">
    <w:p w:rsidR="00F94202" w:rsidRPr="00BA555B" w:rsidRDefault="00F94202" w:rsidP="00554591">
      <w:pPr>
        <w:pStyle w:val="FootnoteText"/>
        <w:jc w:val="both"/>
      </w:pPr>
      <w:r>
        <w:rPr>
          <w:rStyle w:val="FootnoteReference"/>
        </w:rPr>
        <w:footnoteRef/>
      </w:r>
      <w:r w:rsidRPr="0091792B">
        <w:t xml:space="preserve"> </w:t>
      </w:r>
      <w:r w:rsidRPr="00BA555B">
        <w:t xml:space="preserve">„Следователно трябва да се поддържа, че аргументите, приведени от институциите, както са обобщени в § 206 по-горе, са валидни, при уговорката, че те не ги притежават по силата на общото международно право, а по силата на правото на самия ДЕО, който изисква Общността </w:t>
      </w:r>
      <w:r w:rsidRPr="00E91BD2">
        <w:t>да осигури действие</w:t>
      </w:r>
      <w:r>
        <w:t>то</w:t>
      </w:r>
      <w:r w:rsidRPr="00BA555B">
        <w:t xml:space="preserve"> на въпросните рез</w:t>
      </w:r>
      <w:r>
        <w:t>о</w:t>
      </w:r>
      <w:r w:rsidRPr="00BA555B">
        <w:t>люции на СС в сферата на своите компетенции“ § 257.</w:t>
      </w:r>
    </w:p>
  </w:footnote>
  <w:footnote w:id="18">
    <w:p w:rsidR="00F94202" w:rsidRPr="009A38D3" w:rsidRDefault="00F94202" w:rsidP="00554591">
      <w:pPr>
        <w:pStyle w:val="FootnoteText"/>
        <w:jc w:val="both"/>
      </w:pPr>
      <w:r>
        <w:rPr>
          <w:rStyle w:val="FootnoteReference"/>
        </w:rPr>
        <w:footnoteRef/>
      </w:r>
      <w:r w:rsidRPr="00704A80">
        <w:t xml:space="preserve"> </w:t>
      </w:r>
      <w:r w:rsidRPr="009A38D3">
        <w:t>Lenhard, Chia, European Court Rules on UN and EU Terrorist Suspect Blacklists, ASIL Insight; vol 11, Issue 1, 2007</w:t>
      </w:r>
    </w:p>
  </w:footnote>
  <w:footnote w:id="19">
    <w:p w:rsidR="008F2B74" w:rsidRPr="008F2B74" w:rsidRDefault="008F2B74" w:rsidP="00554591">
      <w:pPr>
        <w:pStyle w:val="FootnoteText"/>
        <w:jc w:val="both"/>
      </w:pPr>
      <w:r>
        <w:rPr>
          <w:rStyle w:val="FootnoteReference"/>
        </w:rPr>
        <w:footnoteRef/>
      </w:r>
      <w:r>
        <w:t xml:space="preserve"> </w:t>
      </w:r>
      <w:r w:rsidRPr="008F2B74">
        <w:t>Белова, Г.</w:t>
      </w:r>
      <w:r w:rsidRPr="008F2B74">
        <w:rPr>
          <w:i/>
        </w:rPr>
        <w:t>,</w:t>
      </w:r>
      <w:r>
        <w:rPr>
          <w:i/>
        </w:rPr>
        <w:t xml:space="preserve"> </w:t>
      </w:r>
      <w:r>
        <w:t>цит. съч., с. 45.</w:t>
      </w:r>
    </w:p>
  </w:footnote>
  <w:footnote w:id="20">
    <w:p w:rsidR="00D51B44" w:rsidRPr="00E91BD2" w:rsidRDefault="00D51B44" w:rsidP="00554591">
      <w:pPr>
        <w:pStyle w:val="FootnoteText"/>
        <w:jc w:val="both"/>
      </w:pPr>
      <w:r>
        <w:rPr>
          <w:rStyle w:val="FootnoteReference"/>
        </w:rPr>
        <w:footnoteRef/>
      </w:r>
      <w:r>
        <w:t xml:space="preserve"> </w:t>
      </w:r>
      <w:r w:rsidRPr="00E91BD2">
        <w:t>Joined Cases C-402/05 P and C-415/05 P Yassin Abdullah Kadi and Al Barakaat International Foundation v Council of the European Union and Commission of the European Union</w:t>
      </w:r>
      <w:r>
        <w:t>.</w:t>
      </w:r>
    </w:p>
  </w:footnote>
  <w:footnote w:id="21">
    <w:p w:rsidR="008F2B74" w:rsidRPr="008F2B74" w:rsidRDefault="008F2B74" w:rsidP="00AB328F">
      <w:pPr>
        <w:pStyle w:val="FootnoteText"/>
        <w:jc w:val="both"/>
      </w:pPr>
      <w:r>
        <w:rPr>
          <w:rStyle w:val="FootnoteReference"/>
        </w:rPr>
        <w:footnoteRef/>
      </w:r>
      <w:r>
        <w:t xml:space="preserve"> </w:t>
      </w:r>
      <w:r w:rsidRPr="008F2B74">
        <w:t xml:space="preserve">Съгласно чл. 53 от Виенската конвенция за правото на договорите </w:t>
      </w:r>
      <w:r w:rsidRPr="00AB328F">
        <w:rPr>
          <w:i/>
        </w:rPr>
        <w:t>„...императивна норма на общото международно право е норма, която изцяло се приема и признава от международната общност на държавите, като норма, отклонението от която е недопустимо и която може да бъде изменена само с последваща норма на общото международно право от същия характер”</w:t>
      </w:r>
      <w:r w:rsidRPr="008F2B74">
        <w:t>.  Борисов, Орлин, Сборник по международно публично право, Юриспрес, 2001, с. 148.</w:t>
      </w:r>
    </w:p>
  </w:footnote>
  <w:footnote w:id="22">
    <w:p w:rsidR="008F2B74" w:rsidRPr="008F2B74" w:rsidRDefault="008F2B74" w:rsidP="00AB328F">
      <w:pPr>
        <w:pStyle w:val="FootnoteText"/>
        <w:jc w:val="both"/>
      </w:pPr>
      <w:r w:rsidRPr="008F2B74">
        <w:rPr>
          <w:rStyle w:val="FootnoteReference"/>
        </w:rPr>
        <w:footnoteRef/>
      </w:r>
      <w:r w:rsidRPr="008F2B74">
        <w:t xml:space="preserve"> В същия смисъл Белова, Г.</w:t>
      </w:r>
      <w:r w:rsidRPr="008F2B74">
        <w:rPr>
          <w:i/>
        </w:rPr>
        <w:t xml:space="preserve">, </w:t>
      </w:r>
      <w:r w:rsidRPr="008F2B74">
        <w:t>цит. съч., с.</w:t>
      </w:r>
      <w:r>
        <w:t xml:space="preserve"> 51.</w:t>
      </w:r>
    </w:p>
  </w:footnote>
  <w:footnote w:id="23">
    <w:p w:rsidR="001740FF" w:rsidRDefault="001740FF" w:rsidP="00AB328F">
      <w:pPr>
        <w:pStyle w:val="FootnoteText"/>
        <w:jc w:val="both"/>
      </w:pPr>
      <w:r>
        <w:rPr>
          <w:rStyle w:val="FootnoteReference"/>
        </w:rPr>
        <w:footnoteRef/>
      </w:r>
      <w:r>
        <w:t xml:space="preserve"> </w:t>
      </w:r>
      <w:r w:rsidR="005E4D58" w:rsidRPr="005E4D58">
        <w:t xml:space="preserve">Член 103 гласи: </w:t>
      </w:r>
      <w:r w:rsidR="005E4D58" w:rsidRPr="00AB328F">
        <w:rPr>
          <w:i/>
        </w:rPr>
        <w:t>”В случай на противоречие между задълженията на членовете на Организацията, произтичащи от настоящия устав, и задълженията им, произтичащи от което и да е  друго международно съглашение, задълженията на настоящия устав имат предимство”</w:t>
      </w:r>
      <w:r w:rsidR="005E4D58" w:rsidRPr="005E4D58">
        <w:t>.</w:t>
      </w:r>
    </w:p>
  </w:footnote>
  <w:footnote w:id="24">
    <w:p w:rsidR="00D51B44" w:rsidRPr="00F4211E" w:rsidRDefault="00D51B44" w:rsidP="00AB328F">
      <w:pPr>
        <w:pStyle w:val="FootnoteText"/>
        <w:jc w:val="both"/>
      </w:pPr>
      <w:r>
        <w:rPr>
          <w:rStyle w:val="FootnoteReference"/>
        </w:rPr>
        <w:footnoteRef/>
      </w:r>
      <w:r w:rsidRPr="00F4211E">
        <w:t xml:space="preserve"> Освен това</w:t>
      </w:r>
      <w:r>
        <w:t>: н</w:t>
      </w:r>
      <w:r w:rsidRPr="00F4211E">
        <w:rPr>
          <w:bCs/>
        </w:rPr>
        <w:t>арежда Съвета на ЕС и Комисията да заплатят освен техните собствени разходи, половината от тези, направени от г-н Кади и Международната фондация Ал Баракаат както на първа инстанция, така и при обжа</w:t>
      </w:r>
      <w:r>
        <w:rPr>
          <w:bCs/>
        </w:rPr>
        <w:t>лването; н</w:t>
      </w:r>
      <w:r w:rsidRPr="00F4211E">
        <w:rPr>
          <w:bCs/>
        </w:rPr>
        <w:t>арежда Обединеното кралство да поеме собствените са разноски на пъ</w:t>
      </w:r>
      <w:r>
        <w:rPr>
          <w:bCs/>
        </w:rPr>
        <w:t>рва инстанция и за обжалването; н</w:t>
      </w:r>
      <w:r w:rsidRPr="00F4211E">
        <w:rPr>
          <w:bCs/>
        </w:rPr>
        <w:t xml:space="preserve">арежда Кралство Испания, Френската република и </w:t>
      </w:r>
      <w:r>
        <w:rPr>
          <w:bCs/>
        </w:rPr>
        <w:t>К</w:t>
      </w:r>
      <w:r w:rsidRPr="00F4211E">
        <w:rPr>
          <w:bCs/>
        </w:rPr>
        <w:t>ралство Нидерландия да поемат собствените си разноски.</w:t>
      </w:r>
    </w:p>
  </w:footnote>
  <w:footnote w:id="25">
    <w:p w:rsidR="005E4D58" w:rsidRPr="00F31F59" w:rsidRDefault="005E4D58" w:rsidP="00AB328F">
      <w:pPr>
        <w:pStyle w:val="FootnoteText"/>
        <w:jc w:val="both"/>
        <w:rPr>
          <w:lang w:val="en-US"/>
        </w:rPr>
      </w:pPr>
      <w:r>
        <w:rPr>
          <w:rStyle w:val="FootnoteReference"/>
        </w:rPr>
        <w:footnoteRef/>
      </w:r>
      <w:r>
        <w:t xml:space="preserve"> </w:t>
      </w:r>
      <w:r w:rsidR="00F31F59" w:rsidRPr="00F31F59">
        <w:rPr>
          <w:lang w:val="en-US"/>
        </w:rPr>
        <w:t xml:space="preserve">Vara, Juan Santos, The Consequences of </w:t>
      </w:r>
      <w:r w:rsidR="00F31F59" w:rsidRPr="00F31F59">
        <w:rPr>
          <w:i/>
          <w:lang w:val="en-US"/>
        </w:rPr>
        <w:t xml:space="preserve">Kadi: </w:t>
      </w:r>
      <w:r w:rsidR="00F31F59" w:rsidRPr="00F31F59">
        <w:rPr>
          <w:lang w:val="en-US"/>
        </w:rPr>
        <w:t>Where the Divergences of  Opinion between EU and International Lawyers Lies ?, European Law Journal, volume 17, issue 2, March 2011, p. 262.</w:t>
      </w:r>
    </w:p>
  </w:footnote>
  <w:footnote w:id="26">
    <w:p w:rsidR="00F55921" w:rsidRPr="00066E13" w:rsidRDefault="00F55921" w:rsidP="00AB328F">
      <w:pPr>
        <w:pStyle w:val="FootnoteText1"/>
        <w:jc w:val="both"/>
        <w:rPr>
          <w:lang w:val="bg-BG"/>
        </w:rPr>
      </w:pPr>
      <w:r>
        <w:rPr>
          <w:rStyle w:val="FootnoteReference"/>
        </w:rPr>
        <w:footnoteRef/>
      </w:r>
      <w:r>
        <w:rPr>
          <w:lang w:val="bg-BG"/>
        </w:rPr>
        <w:t xml:space="preserve"> Борисов</w:t>
      </w:r>
      <w:r w:rsidR="008F2B74">
        <w:rPr>
          <w:lang w:val="bg-BG"/>
        </w:rPr>
        <w:t>,</w:t>
      </w:r>
      <w:r>
        <w:rPr>
          <w:lang w:val="bg-BG"/>
        </w:rPr>
        <w:t xml:space="preserve"> О</w:t>
      </w:r>
      <w:r w:rsidR="008F2B74">
        <w:rPr>
          <w:lang w:val="bg-BG"/>
        </w:rPr>
        <w:t>.</w:t>
      </w:r>
      <w:r>
        <w:rPr>
          <w:lang w:val="bg-BG"/>
        </w:rPr>
        <w:t xml:space="preserve">, Международно публично </w:t>
      </w:r>
      <w:r w:rsidR="00933BB8">
        <w:rPr>
          <w:lang w:val="bg-BG"/>
        </w:rPr>
        <w:t>право, трето</w:t>
      </w:r>
      <w:r>
        <w:rPr>
          <w:lang w:val="bg-BG"/>
        </w:rPr>
        <w:t xml:space="preserve"> преработено и допълнено издание, С., 2001, с. 420-421.</w:t>
      </w:r>
    </w:p>
  </w:footnote>
  <w:footnote w:id="27">
    <w:p w:rsidR="00F31F59" w:rsidRPr="00F31F59" w:rsidRDefault="00F31F59" w:rsidP="00AB328F">
      <w:pPr>
        <w:pStyle w:val="FootnoteText"/>
        <w:jc w:val="both"/>
      </w:pPr>
      <w:r w:rsidRPr="00F31F59">
        <w:rPr>
          <w:rStyle w:val="FootnoteReference"/>
        </w:rPr>
        <w:footnoteRef/>
      </w:r>
      <w:r w:rsidRPr="00F31F59">
        <w:t xml:space="preserve"> Попова, Ж., цит. съч.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88" w:rsidRDefault="00FC0888">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3874"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88" w:rsidRDefault="00FC0888">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3875"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88" w:rsidRDefault="00FC0888">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3873"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C7A6A"/>
    <w:multiLevelType w:val="hybridMultilevel"/>
    <w:tmpl w:val="34785C3E"/>
    <w:lvl w:ilvl="0" w:tplc="E10AFCA6">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87"/>
    <w:rsid w:val="00007D65"/>
    <w:rsid w:val="000139CF"/>
    <w:rsid w:val="00066E13"/>
    <w:rsid w:val="00171DC8"/>
    <w:rsid w:val="001740FF"/>
    <w:rsid w:val="00190BEC"/>
    <w:rsid w:val="001C3A6E"/>
    <w:rsid w:val="001C4295"/>
    <w:rsid w:val="00233FD4"/>
    <w:rsid w:val="00292287"/>
    <w:rsid w:val="002D1CEA"/>
    <w:rsid w:val="002E3B38"/>
    <w:rsid w:val="002F1D95"/>
    <w:rsid w:val="00341969"/>
    <w:rsid w:val="00436818"/>
    <w:rsid w:val="00446559"/>
    <w:rsid w:val="004A6057"/>
    <w:rsid w:val="004C371E"/>
    <w:rsid w:val="004E4784"/>
    <w:rsid w:val="00515610"/>
    <w:rsid w:val="00554591"/>
    <w:rsid w:val="00554EA2"/>
    <w:rsid w:val="005A047D"/>
    <w:rsid w:val="005E4D58"/>
    <w:rsid w:val="006351A5"/>
    <w:rsid w:val="00681595"/>
    <w:rsid w:val="00685ADE"/>
    <w:rsid w:val="00697530"/>
    <w:rsid w:val="006C05FC"/>
    <w:rsid w:val="006D2C0B"/>
    <w:rsid w:val="007025F7"/>
    <w:rsid w:val="00720483"/>
    <w:rsid w:val="007F249A"/>
    <w:rsid w:val="00834FB8"/>
    <w:rsid w:val="008F2B74"/>
    <w:rsid w:val="00933BB8"/>
    <w:rsid w:val="0093529E"/>
    <w:rsid w:val="00961220"/>
    <w:rsid w:val="00A500CC"/>
    <w:rsid w:val="00A7376D"/>
    <w:rsid w:val="00A75580"/>
    <w:rsid w:val="00AB328F"/>
    <w:rsid w:val="00AE6DB0"/>
    <w:rsid w:val="00B25418"/>
    <w:rsid w:val="00B729E5"/>
    <w:rsid w:val="00B946B1"/>
    <w:rsid w:val="00BE7189"/>
    <w:rsid w:val="00CB494F"/>
    <w:rsid w:val="00D51B44"/>
    <w:rsid w:val="00E5656C"/>
    <w:rsid w:val="00E87C6E"/>
    <w:rsid w:val="00EA4676"/>
    <w:rsid w:val="00EC6E02"/>
    <w:rsid w:val="00F1472D"/>
    <w:rsid w:val="00F31F59"/>
    <w:rsid w:val="00F328C3"/>
    <w:rsid w:val="00F55921"/>
    <w:rsid w:val="00F94202"/>
    <w:rsid w:val="00FC0888"/>
    <w:rsid w:val="00FD32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47C1114-BC17-418E-B962-C66EA2D4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rsid w:val="00171DC8"/>
    <w:pPr>
      <w:autoSpaceDE w:val="0"/>
      <w:autoSpaceDN w:val="0"/>
      <w:spacing w:after="0" w:line="240" w:lineRule="auto"/>
    </w:pPr>
    <w:rPr>
      <w:lang w:val="de-DE" w:eastAsia="bg-BG"/>
    </w:rPr>
  </w:style>
  <w:style w:type="character" w:customStyle="1" w:styleId="FootnoteTextChar">
    <w:name w:val="Footnote Text Char"/>
    <w:basedOn w:val="DefaultParagraphFont"/>
    <w:link w:val="FootnoteText1"/>
    <w:uiPriority w:val="99"/>
    <w:semiHidden/>
    <w:locked/>
    <w:rsid w:val="00171DC8"/>
    <w:rPr>
      <w:rFonts w:ascii="Times New Roman" w:hAnsi="Times New Roman" w:cs="Times New Roman"/>
      <w:sz w:val="20"/>
      <w:szCs w:val="20"/>
      <w:lang w:val="de-DE" w:eastAsia="bg-BG"/>
    </w:rPr>
  </w:style>
  <w:style w:type="character" w:styleId="FootnoteReference">
    <w:name w:val="footnote reference"/>
    <w:basedOn w:val="DefaultParagraphFont"/>
    <w:uiPriority w:val="99"/>
    <w:rsid w:val="00171DC8"/>
    <w:rPr>
      <w:rFonts w:cs="Times New Roman"/>
      <w:vertAlign w:val="superscript"/>
    </w:rPr>
  </w:style>
  <w:style w:type="paragraph" w:styleId="FootnoteText">
    <w:name w:val="footnote text"/>
    <w:basedOn w:val="Normal"/>
    <w:link w:val="FootnoteTextChar1"/>
    <w:uiPriority w:val="99"/>
    <w:semiHidden/>
    <w:unhideWhenUsed/>
    <w:rsid w:val="00171DC8"/>
    <w:pPr>
      <w:spacing w:after="0" w:line="240" w:lineRule="auto"/>
    </w:pPr>
  </w:style>
  <w:style w:type="character" w:customStyle="1" w:styleId="FootnoteTextChar1">
    <w:name w:val="Footnote Text Char1"/>
    <w:basedOn w:val="DefaultParagraphFont"/>
    <w:link w:val="FootnoteText"/>
    <w:uiPriority w:val="99"/>
    <w:semiHidden/>
    <w:rsid w:val="00171DC8"/>
    <w:rPr>
      <w:sz w:val="20"/>
      <w:szCs w:val="20"/>
    </w:rPr>
  </w:style>
  <w:style w:type="paragraph" w:customStyle="1" w:styleId="c40dispositifmarge0avecretrait">
    <w:name w:val="c40dispositifmarge0avecretrait"/>
    <w:basedOn w:val="Normal"/>
    <w:rsid w:val="00D51B44"/>
    <w:pPr>
      <w:spacing w:after="240" w:line="240" w:lineRule="auto"/>
      <w:ind w:left="1134" w:hanging="567"/>
      <w:jc w:val="both"/>
    </w:pPr>
    <w:rPr>
      <w:rFonts w:ascii="Arial" w:eastAsia="Times New Roman" w:hAnsi="Arial" w:cs="Arial"/>
      <w:b/>
      <w:bCs/>
      <w:lang w:val="en-US"/>
    </w:rPr>
  </w:style>
  <w:style w:type="paragraph" w:styleId="Header">
    <w:name w:val="header"/>
    <w:basedOn w:val="Normal"/>
    <w:link w:val="HeaderChar"/>
    <w:uiPriority w:val="99"/>
    <w:unhideWhenUsed/>
    <w:rsid w:val="001C42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4295"/>
  </w:style>
  <w:style w:type="paragraph" w:styleId="Footer">
    <w:name w:val="footer"/>
    <w:basedOn w:val="Normal"/>
    <w:link w:val="FooterChar"/>
    <w:uiPriority w:val="99"/>
    <w:unhideWhenUsed/>
    <w:rsid w:val="001C42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755C-AB39-4C15-8984-F656CD21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HP</cp:lastModifiedBy>
  <cp:revision>17</cp:revision>
  <cp:lastPrinted>2014-11-15T10:36:00Z</cp:lastPrinted>
  <dcterms:created xsi:type="dcterms:W3CDTF">2014-11-08T08:25:00Z</dcterms:created>
  <dcterms:modified xsi:type="dcterms:W3CDTF">2014-11-15T10:36:00Z</dcterms:modified>
</cp:coreProperties>
</file>