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00F" w:rsidRDefault="006E300F" w:rsidP="006E300F">
      <w:pPr>
        <w:tabs>
          <w:tab w:val="left" w:pos="851"/>
          <w:tab w:val="left" w:pos="1134"/>
        </w:tabs>
        <w:spacing w:after="0" w:line="360" w:lineRule="auto"/>
        <w:jc w:val="center"/>
        <w:outlineLvl w:val="1"/>
        <w:rPr>
          <w:rFonts w:ascii="Times New Roman" w:eastAsia="Arial Unicode MS" w:hAnsi="Times New Roman" w:cs="Times New Roman"/>
          <w:b/>
          <w:color w:val="000000"/>
          <w:sz w:val="28"/>
          <w:szCs w:val="28"/>
          <w:lang w:eastAsia="bg-BG" w:bidi="bg-BG"/>
        </w:rPr>
      </w:pPr>
      <w:bookmarkStart w:id="0" w:name="_Toc449558402"/>
      <w:bookmarkStart w:id="1" w:name="_Toc452381879"/>
      <w:bookmarkStart w:id="2" w:name="_Toc452383958"/>
      <w:bookmarkStart w:id="3" w:name="_Toc452384172"/>
      <w:r w:rsidRPr="006E300F">
        <w:rPr>
          <w:rFonts w:ascii="Times New Roman" w:eastAsia="Arial Unicode MS" w:hAnsi="Times New Roman" w:cs="Times New Roman"/>
          <w:b/>
          <w:color w:val="000000"/>
          <w:sz w:val="28"/>
          <w:szCs w:val="28"/>
          <w:lang w:eastAsia="bg-BG" w:bidi="bg-BG"/>
        </w:rPr>
        <w:t xml:space="preserve">ЗАЩИТА СРЕЩУ ДИСКРИМИНАЦИЯ </w:t>
      </w:r>
    </w:p>
    <w:p w:rsidR="007E7617" w:rsidRPr="006E300F" w:rsidRDefault="006E300F" w:rsidP="006E300F">
      <w:pPr>
        <w:tabs>
          <w:tab w:val="left" w:pos="851"/>
          <w:tab w:val="left" w:pos="1134"/>
        </w:tabs>
        <w:spacing w:after="0" w:line="360" w:lineRule="auto"/>
        <w:jc w:val="center"/>
        <w:outlineLvl w:val="1"/>
        <w:rPr>
          <w:rFonts w:ascii="Times New Roman" w:eastAsia="Arial Unicode MS" w:hAnsi="Times New Roman" w:cs="Times New Roman"/>
          <w:b/>
          <w:color w:val="000000"/>
          <w:sz w:val="28"/>
          <w:szCs w:val="28"/>
          <w:lang w:eastAsia="bg-BG" w:bidi="bg-BG"/>
        </w:rPr>
      </w:pPr>
      <w:r w:rsidRPr="006E300F">
        <w:rPr>
          <w:rFonts w:ascii="Times New Roman" w:eastAsia="Arial Unicode MS" w:hAnsi="Times New Roman" w:cs="Times New Roman"/>
          <w:b/>
          <w:color w:val="000000"/>
          <w:sz w:val="28"/>
          <w:szCs w:val="28"/>
          <w:lang w:eastAsia="bg-BG" w:bidi="bg-BG"/>
        </w:rPr>
        <w:t>И КОНСТИТУЦИОНЕН ПРОЦЕС</w:t>
      </w:r>
      <w:bookmarkEnd w:id="0"/>
      <w:bookmarkEnd w:id="1"/>
      <w:bookmarkEnd w:id="2"/>
      <w:bookmarkEnd w:id="3"/>
    </w:p>
    <w:p w:rsidR="007E7617" w:rsidRPr="007E7617" w:rsidRDefault="007E7617" w:rsidP="006E300F">
      <w:pPr>
        <w:spacing w:after="0" w:line="360" w:lineRule="auto"/>
        <w:jc w:val="center"/>
        <w:rPr>
          <w:rFonts w:ascii="Times New Roman" w:hAnsi="Times New Roman" w:cs="Times New Roman"/>
          <w:b/>
          <w:sz w:val="24"/>
          <w:szCs w:val="24"/>
        </w:rPr>
      </w:pPr>
    </w:p>
    <w:p w:rsidR="007E7617" w:rsidRPr="006E300F" w:rsidRDefault="007E7617" w:rsidP="006E300F">
      <w:pPr>
        <w:spacing w:after="0" w:line="360" w:lineRule="auto"/>
        <w:jc w:val="right"/>
        <w:rPr>
          <w:rFonts w:ascii="Times New Roman" w:hAnsi="Times New Roman" w:cs="Times New Roman"/>
          <w:b/>
          <w:i/>
          <w:sz w:val="24"/>
          <w:szCs w:val="24"/>
        </w:rPr>
      </w:pPr>
      <w:r w:rsidRPr="006E300F">
        <w:rPr>
          <w:rFonts w:ascii="Times New Roman" w:hAnsi="Times New Roman" w:cs="Times New Roman"/>
          <w:b/>
          <w:i/>
          <w:sz w:val="24"/>
          <w:szCs w:val="24"/>
        </w:rPr>
        <w:t xml:space="preserve">Благой </w:t>
      </w:r>
      <w:proofErr w:type="spellStart"/>
      <w:r w:rsidRPr="006E300F">
        <w:rPr>
          <w:rFonts w:ascii="Times New Roman" w:hAnsi="Times New Roman" w:cs="Times New Roman"/>
          <w:b/>
          <w:i/>
          <w:sz w:val="24"/>
          <w:szCs w:val="24"/>
        </w:rPr>
        <w:t>Делиев</w:t>
      </w:r>
      <w:proofErr w:type="spellEnd"/>
      <w:r w:rsidR="006E300F">
        <w:rPr>
          <w:rStyle w:val="FootnoteReference"/>
          <w:rFonts w:ascii="Times New Roman" w:hAnsi="Times New Roman" w:cs="Times New Roman"/>
          <w:b/>
          <w:i/>
          <w:sz w:val="24"/>
          <w:szCs w:val="24"/>
        </w:rPr>
        <w:footnoteReference w:id="1"/>
      </w:r>
    </w:p>
    <w:p w:rsidR="00CF0C83" w:rsidRDefault="00CF0C83" w:rsidP="006E300F">
      <w:pPr>
        <w:tabs>
          <w:tab w:val="left" w:pos="993"/>
        </w:tabs>
        <w:spacing w:after="0" w:line="360" w:lineRule="auto"/>
        <w:rPr>
          <w:rFonts w:ascii="Times New Roman" w:hAnsi="Times New Roman" w:cs="Times New Roman"/>
          <w:bCs/>
          <w:sz w:val="24"/>
          <w:szCs w:val="24"/>
        </w:rPr>
      </w:pPr>
    </w:p>
    <w:p w:rsidR="006E300F" w:rsidRPr="006E300F" w:rsidRDefault="006E300F" w:rsidP="006E300F">
      <w:pPr>
        <w:tabs>
          <w:tab w:val="left" w:pos="993"/>
        </w:tabs>
        <w:spacing w:after="0" w:line="360" w:lineRule="auto"/>
        <w:rPr>
          <w:rFonts w:ascii="Times New Roman" w:hAnsi="Times New Roman" w:cs="Times New Roman"/>
          <w:bCs/>
          <w:sz w:val="24"/>
          <w:szCs w:val="24"/>
        </w:rPr>
      </w:pPr>
    </w:p>
    <w:p w:rsidR="006E300F" w:rsidRPr="006E300F" w:rsidRDefault="006E300F" w:rsidP="006E300F">
      <w:pPr>
        <w:tabs>
          <w:tab w:val="left" w:pos="993"/>
        </w:tabs>
        <w:spacing w:after="0" w:line="360" w:lineRule="auto"/>
        <w:jc w:val="both"/>
        <w:rPr>
          <w:rFonts w:ascii="Times New Roman" w:hAnsi="Times New Roman" w:cs="Times New Roman"/>
          <w:b/>
          <w:bCs/>
          <w:sz w:val="24"/>
          <w:szCs w:val="24"/>
        </w:rPr>
      </w:pPr>
      <w:r w:rsidRPr="006E300F">
        <w:rPr>
          <w:rFonts w:ascii="Times New Roman" w:hAnsi="Times New Roman" w:cs="Times New Roman"/>
          <w:b/>
          <w:bCs/>
          <w:sz w:val="24"/>
          <w:szCs w:val="24"/>
        </w:rPr>
        <w:t>Анотация</w:t>
      </w:r>
    </w:p>
    <w:p w:rsidR="006E300F" w:rsidRPr="006E300F" w:rsidRDefault="006E300F" w:rsidP="006E300F">
      <w:pPr>
        <w:tabs>
          <w:tab w:val="left" w:pos="993"/>
        </w:tabs>
        <w:spacing w:after="0" w:line="360" w:lineRule="auto"/>
        <w:jc w:val="both"/>
        <w:rPr>
          <w:rFonts w:ascii="Times New Roman" w:hAnsi="Times New Roman" w:cs="Times New Roman"/>
          <w:bCs/>
          <w:i/>
          <w:sz w:val="24"/>
          <w:szCs w:val="24"/>
        </w:rPr>
      </w:pPr>
      <w:r w:rsidRPr="006E300F">
        <w:rPr>
          <w:rFonts w:ascii="Times New Roman" w:hAnsi="Times New Roman" w:cs="Times New Roman"/>
          <w:bCs/>
          <w:i/>
          <w:sz w:val="24"/>
          <w:szCs w:val="24"/>
        </w:rPr>
        <w:t>Равенство без права и правата без равенство са като власт без ограничение. Често равенството е среда на тяхното упражняване, самостоятелно основно право, техен коректив или необходима холограма. Дискриминацията и юридическата борба срещу нея всъщност са един „</w:t>
      </w:r>
      <w:proofErr w:type="spellStart"/>
      <w:r w:rsidRPr="006E300F">
        <w:rPr>
          <w:rFonts w:ascii="Times New Roman" w:hAnsi="Times New Roman" w:cs="Times New Roman"/>
          <w:bCs/>
          <w:i/>
          <w:sz w:val="24"/>
          <w:szCs w:val="24"/>
        </w:rPr>
        <w:t>сто</w:t>
      </w:r>
      <w:r>
        <w:rPr>
          <w:rFonts w:ascii="Times New Roman" w:hAnsi="Times New Roman" w:cs="Times New Roman"/>
          <w:bCs/>
          <w:i/>
          <w:sz w:val="24"/>
          <w:szCs w:val="24"/>
        </w:rPr>
        <w:t>п</w:t>
      </w:r>
      <w:r w:rsidRPr="006E300F">
        <w:rPr>
          <w:rFonts w:ascii="Times New Roman" w:hAnsi="Times New Roman" w:cs="Times New Roman"/>
          <w:bCs/>
          <w:i/>
          <w:sz w:val="24"/>
          <w:szCs w:val="24"/>
        </w:rPr>
        <w:t>кадър</w:t>
      </w:r>
      <w:proofErr w:type="spellEnd"/>
      <w:r w:rsidRPr="006E300F">
        <w:rPr>
          <w:rFonts w:ascii="Times New Roman" w:hAnsi="Times New Roman" w:cs="Times New Roman"/>
          <w:bCs/>
          <w:i/>
          <w:sz w:val="24"/>
          <w:szCs w:val="24"/>
        </w:rPr>
        <w:t>“ на взаимодействието между основните права и равенството. И на Конституционния съд като на всеки съд, му се налага да посочва кога това взаимодействие противоречи с правото (Конституцията) и кога не.</w:t>
      </w:r>
      <w:r w:rsidRPr="006E300F">
        <w:rPr>
          <w:rFonts w:ascii="Times New Roman" w:hAnsi="Times New Roman" w:cs="Times New Roman"/>
          <w:bCs/>
          <w:i/>
          <w:sz w:val="24"/>
          <w:szCs w:val="24"/>
        </w:rPr>
        <w:t xml:space="preserve"> </w:t>
      </w:r>
    </w:p>
    <w:p w:rsidR="006E300F" w:rsidRPr="006E300F" w:rsidRDefault="006E300F" w:rsidP="006E300F">
      <w:pPr>
        <w:tabs>
          <w:tab w:val="left" w:pos="993"/>
        </w:tabs>
        <w:spacing w:after="0" w:line="360" w:lineRule="auto"/>
        <w:jc w:val="both"/>
        <w:rPr>
          <w:rFonts w:ascii="Times New Roman" w:hAnsi="Times New Roman" w:cs="Times New Roman"/>
          <w:bCs/>
          <w:i/>
          <w:sz w:val="24"/>
          <w:szCs w:val="24"/>
        </w:rPr>
      </w:pPr>
      <w:r w:rsidRPr="006E300F">
        <w:rPr>
          <w:rFonts w:ascii="Times New Roman" w:hAnsi="Times New Roman" w:cs="Times New Roman"/>
          <w:b/>
          <w:bCs/>
          <w:sz w:val="24"/>
          <w:szCs w:val="24"/>
        </w:rPr>
        <w:t>Ключови думи:</w:t>
      </w:r>
      <w:r>
        <w:rPr>
          <w:rFonts w:ascii="Times New Roman" w:hAnsi="Times New Roman" w:cs="Times New Roman"/>
          <w:bCs/>
          <w:sz w:val="24"/>
          <w:szCs w:val="24"/>
        </w:rPr>
        <w:t xml:space="preserve"> </w:t>
      </w:r>
      <w:r w:rsidRPr="006E300F">
        <w:rPr>
          <w:rFonts w:ascii="Times New Roman" w:hAnsi="Times New Roman" w:cs="Times New Roman"/>
          <w:bCs/>
          <w:i/>
          <w:sz w:val="24"/>
          <w:szCs w:val="24"/>
        </w:rPr>
        <w:t xml:space="preserve">Право на </w:t>
      </w:r>
      <w:proofErr w:type="spellStart"/>
      <w:r w:rsidRPr="006E300F">
        <w:rPr>
          <w:rFonts w:ascii="Times New Roman" w:hAnsi="Times New Roman" w:cs="Times New Roman"/>
          <w:bCs/>
          <w:i/>
          <w:sz w:val="24"/>
          <w:szCs w:val="24"/>
        </w:rPr>
        <w:t>недискримин</w:t>
      </w:r>
      <w:r w:rsidRPr="006E300F">
        <w:rPr>
          <w:rFonts w:ascii="Times New Roman" w:hAnsi="Times New Roman" w:cs="Times New Roman"/>
          <w:bCs/>
          <w:i/>
          <w:sz w:val="24"/>
          <w:szCs w:val="24"/>
        </w:rPr>
        <w:t>ация</w:t>
      </w:r>
      <w:proofErr w:type="spellEnd"/>
      <w:r w:rsidRPr="006E300F">
        <w:rPr>
          <w:rFonts w:ascii="Times New Roman" w:hAnsi="Times New Roman" w:cs="Times New Roman"/>
          <w:bCs/>
          <w:i/>
          <w:sz w:val="24"/>
          <w:szCs w:val="24"/>
        </w:rPr>
        <w:t>, защита от дискриминация, к</w:t>
      </w:r>
      <w:r w:rsidRPr="006E300F">
        <w:rPr>
          <w:rFonts w:ascii="Times New Roman" w:hAnsi="Times New Roman" w:cs="Times New Roman"/>
          <w:bCs/>
          <w:i/>
          <w:sz w:val="24"/>
          <w:szCs w:val="24"/>
        </w:rPr>
        <w:t>онституционен процес.</w:t>
      </w:r>
    </w:p>
    <w:p w:rsidR="006E300F" w:rsidRPr="006E300F" w:rsidRDefault="006E300F" w:rsidP="006E300F">
      <w:pPr>
        <w:tabs>
          <w:tab w:val="left" w:pos="993"/>
        </w:tabs>
        <w:spacing w:after="0" w:line="360" w:lineRule="auto"/>
        <w:jc w:val="both"/>
        <w:rPr>
          <w:rFonts w:ascii="Times New Roman" w:hAnsi="Times New Roman" w:cs="Times New Roman"/>
          <w:b/>
          <w:bCs/>
          <w:i/>
          <w:sz w:val="24"/>
          <w:szCs w:val="24"/>
        </w:rPr>
      </w:pPr>
    </w:p>
    <w:p w:rsidR="006E300F" w:rsidRDefault="006E300F" w:rsidP="006E300F">
      <w:pPr>
        <w:tabs>
          <w:tab w:val="left" w:pos="993"/>
        </w:tabs>
        <w:spacing w:after="0" w:line="360" w:lineRule="auto"/>
        <w:ind w:firstLine="589"/>
        <w:jc w:val="both"/>
        <w:rPr>
          <w:rFonts w:ascii="Times New Roman" w:hAnsi="Times New Roman" w:cs="Times New Roman"/>
          <w:b/>
          <w:bCs/>
          <w:sz w:val="24"/>
          <w:szCs w:val="24"/>
        </w:rPr>
      </w:pPr>
      <w:proofErr w:type="spellStart"/>
      <w:r w:rsidRPr="006E300F">
        <w:rPr>
          <w:rFonts w:ascii="Times New Roman" w:hAnsi="Times New Roman" w:cs="Times New Roman"/>
          <w:b/>
          <w:bCs/>
          <w:sz w:val="24"/>
          <w:szCs w:val="24"/>
        </w:rPr>
        <w:t>Abstract</w:t>
      </w:r>
      <w:proofErr w:type="spellEnd"/>
    </w:p>
    <w:p w:rsidR="007E7617" w:rsidRPr="006E300F" w:rsidRDefault="006E300F" w:rsidP="006E300F">
      <w:pPr>
        <w:tabs>
          <w:tab w:val="left" w:pos="993"/>
        </w:tabs>
        <w:spacing w:after="0" w:line="360" w:lineRule="auto"/>
        <w:ind w:firstLine="589"/>
        <w:jc w:val="both"/>
        <w:rPr>
          <w:rFonts w:ascii="Times New Roman" w:hAnsi="Times New Roman" w:cs="Times New Roman"/>
          <w:b/>
          <w:bCs/>
          <w:sz w:val="24"/>
          <w:szCs w:val="24"/>
        </w:rPr>
      </w:pPr>
      <w:proofErr w:type="spellStart"/>
      <w:r w:rsidRPr="00476E8A">
        <w:rPr>
          <w:rFonts w:ascii="Times New Roman" w:hAnsi="Times New Roman" w:cs="Times New Roman"/>
          <w:bCs/>
          <w:i/>
          <w:sz w:val="24"/>
          <w:szCs w:val="24"/>
        </w:rPr>
        <w:t>Equality</w:t>
      </w:r>
      <w:proofErr w:type="spellEnd"/>
      <w:r w:rsidRPr="00476E8A">
        <w:rPr>
          <w:rFonts w:ascii="Times New Roman" w:hAnsi="Times New Roman" w:cs="Times New Roman"/>
          <w:bCs/>
          <w:i/>
          <w:sz w:val="24"/>
          <w:szCs w:val="24"/>
        </w:rPr>
        <w:t xml:space="preserve"> </w:t>
      </w:r>
      <w:proofErr w:type="spellStart"/>
      <w:r w:rsidRPr="00476E8A">
        <w:rPr>
          <w:rFonts w:ascii="Times New Roman" w:hAnsi="Times New Roman" w:cs="Times New Roman"/>
          <w:bCs/>
          <w:i/>
          <w:sz w:val="24"/>
          <w:szCs w:val="24"/>
        </w:rPr>
        <w:t>without</w:t>
      </w:r>
      <w:proofErr w:type="spellEnd"/>
      <w:r w:rsidRPr="00476E8A">
        <w:rPr>
          <w:rFonts w:ascii="Times New Roman" w:hAnsi="Times New Roman" w:cs="Times New Roman"/>
          <w:bCs/>
          <w:i/>
          <w:sz w:val="24"/>
          <w:szCs w:val="24"/>
        </w:rPr>
        <w:t xml:space="preserve"> </w:t>
      </w:r>
      <w:proofErr w:type="spellStart"/>
      <w:r w:rsidRPr="00476E8A">
        <w:rPr>
          <w:rFonts w:ascii="Times New Roman" w:hAnsi="Times New Roman" w:cs="Times New Roman"/>
          <w:bCs/>
          <w:i/>
          <w:sz w:val="24"/>
          <w:szCs w:val="24"/>
        </w:rPr>
        <w:t>rights</w:t>
      </w:r>
      <w:proofErr w:type="spellEnd"/>
      <w:r w:rsidRPr="00476E8A">
        <w:rPr>
          <w:rFonts w:ascii="Times New Roman" w:hAnsi="Times New Roman" w:cs="Times New Roman"/>
          <w:bCs/>
          <w:i/>
          <w:sz w:val="24"/>
          <w:szCs w:val="24"/>
        </w:rPr>
        <w:t xml:space="preserve"> </w:t>
      </w:r>
      <w:proofErr w:type="spellStart"/>
      <w:r w:rsidRPr="00476E8A">
        <w:rPr>
          <w:rFonts w:ascii="Times New Roman" w:hAnsi="Times New Roman" w:cs="Times New Roman"/>
          <w:bCs/>
          <w:i/>
          <w:sz w:val="24"/>
          <w:szCs w:val="24"/>
        </w:rPr>
        <w:t>and</w:t>
      </w:r>
      <w:proofErr w:type="spellEnd"/>
      <w:r w:rsidRPr="00476E8A">
        <w:rPr>
          <w:rFonts w:ascii="Times New Roman" w:hAnsi="Times New Roman" w:cs="Times New Roman"/>
          <w:bCs/>
          <w:i/>
          <w:sz w:val="24"/>
          <w:szCs w:val="24"/>
        </w:rPr>
        <w:t xml:space="preserve">  </w:t>
      </w:r>
      <w:proofErr w:type="spellStart"/>
      <w:r w:rsidRPr="00476E8A">
        <w:rPr>
          <w:rFonts w:ascii="Times New Roman" w:hAnsi="Times New Roman" w:cs="Times New Roman"/>
          <w:bCs/>
          <w:i/>
          <w:sz w:val="24"/>
          <w:szCs w:val="24"/>
        </w:rPr>
        <w:t>rights</w:t>
      </w:r>
      <w:proofErr w:type="spellEnd"/>
      <w:r w:rsidRPr="00476E8A">
        <w:rPr>
          <w:rFonts w:ascii="Times New Roman" w:hAnsi="Times New Roman" w:cs="Times New Roman"/>
          <w:bCs/>
          <w:i/>
          <w:sz w:val="24"/>
          <w:szCs w:val="24"/>
        </w:rPr>
        <w:t xml:space="preserve"> </w:t>
      </w:r>
      <w:proofErr w:type="spellStart"/>
      <w:r w:rsidRPr="00476E8A">
        <w:rPr>
          <w:rFonts w:ascii="Times New Roman" w:hAnsi="Times New Roman" w:cs="Times New Roman"/>
          <w:bCs/>
          <w:i/>
          <w:sz w:val="24"/>
          <w:szCs w:val="24"/>
        </w:rPr>
        <w:t>without</w:t>
      </w:r>
      <w:proofErr w:type="spellEnd"/>
      <w:r w:rsidRPr="00476E8A">
        <w:rPr>
          <w:rFonts w:ascii="Times New Roman" w:hAnsi="Times New Roman" w:cs="Times New Roman"/>
          <w:bCs/>
          <w:i/>
          <w:sz w:val="24"/>
          <w:szCs w:val="24"/>
        </w:rPr>
        <w:t xml:space="preserve"> </w:t>
      </w:r>
      <w:proofErr w:type="spellStart"/>
      <w:r w:rsidRPr="00476E8A">
        <w:rPr>
          <w:rFonts w:ascii="Times New Roman" w:hAnsi="Times New Roman" w:cs="Times New Roman"/>
          <w:bCs/>
          <w:i/>
          <w:sz w:val="24"/>
          <w:szCs w:val="24"/>
        </w:rPr>
        <w:t>equality</w:t>
      </w:r>
      <w:proofErr w:type="spellEnd"/>
      <w:r w:rsidRPr="00476E8A">
        <w:rPr>
          <w:rFonts w:ascii="Times New Roman" w:hAnsi="Times New Roman" w:cs="Times New Roman"/>
          <w:bCs/>
          <w:i/>
          <w:sz w:val="24"/>
          <w:szCs w:val="24"/>
        </w:rPr>
        <w:t xml:space="preserve"> </w:t>
      </w:r>
      <w:proofErr w:type="spellStart"/>
      <w:r w:rsidRPr="00476E8A">
        <w:rPr>
          <w:rFonts w:ascii="Times New Roman" w:hAnsi="Times New Roman" w:cs="Times New Roman"/>
          <w:bCs/>
          <w:i/>
          <w:sz w:val="24"/>
          <w:szCs w:val="24"/>
        </w:rPr>
        <w:t>are</w:t>
      </w:r>
      <w:proofErr w:type="spellEnd"/>
      <w:r w:rsidRPr="00476E8A">
        <w:rPr>
          <w:rFonts w:ascii="Times New Roman" w:hAnsi="Times New Roman" w:cs="Times New Roman"/>
          <w:bCs/>
          <w:i/>
          <w:sz w:val="24"/>
          <w:szCs w:val="24"/>
        </w:rPr>
        <w:t xml:space="preserve"> </w:t>
      </w:r>
      <w:proofErr w:type="spellStart"/>
      <w:r w:rsidRPr="00476E8A">
        <w:rPr>
          <w:rFonts w:ascii="Times New Roman" w:hAnsi="Times New Roman" w:cs="Times New Roman"/>
          <w:bCs/>
          <w:i/>
          <w:sz w:val="24"/>
          <w:szCs w:val="24"/>
        </w:rPr>
        <w:t>like</w:t>
      </w:r>
      <w:proofErr w:type="spellEnd"/>
      <w:r w:rsidRPr="00476E8A">
        <w:rPr>
          <w:rFonts w:ascii="Times New Roman" w:hAnsi="Times New Roman" w:cs="Times New Roman"/>
          <w:bCs/>
          <w:i/>
          <w:sz w:val="24"/>
          <w:szCs w:val="24"/>
        </w:rPr>
        <w:t xml:space="preserve"> </w:t>
      </w:r>
      <w:proofErr w:type="spellStart"/>
      <w:r w:rsidRPr="00476E8A">
        <w:rPr>
          <w:rFonts w:ascii="Times New Roman" w:hAnsi="Times New Roman" w:cs="Times New Roman"/>
          <w:bCs/>
          <w:i/>
          <w:sz w:val="24"/>
          <w:szCs w:val="24"/>
        </w:rPr>
        <w:t>power</w:t>
      </w:r>
      <w:proofErr w:type="spellEnd"/>
      <w:r w:rsidRPr="00476E8A">
        <w:rPr>
          <w:rFonts w:ascii="Times New Roman" w:hAnsi="Times New Roman" w:cs="Times New Roman"/>
          <w:bCs/>
          <w:i/>
          <w:sz w:val="24"/>
          <w:szCs w:val="24"/>
        </w:rPr>
        <w:t xml:space="preserve"> </w:t>
      </w:r>
      <w:proofErr w:type="spellStart"/>
      <w:r w:rsidRPr="00476E8A">
        <w:rPr>
          <w:rFonts w:ascii="Times New Roman" w:hAnsi="Times New Roman" w:cs="Times New Roman"/>
          <w:bCs/>
          <w:i/>
          <w:sz w:val="24"/>
          <w:szCs w:val="24"/>
        </w:rPr>
        <w:t>without</w:t>
      </w:r>
      <w:proofErr w:type="spellEnd"/>
      <w:r w:rsidRPr="00476E8A">
        <w:rPr>
          <w:rFonts w:ascii="Times New Roman" w:hAnsi="Times New Roman" w:cs="Times New Roman"/>
          <w:bCs/>
          <w:i/>
          <w:sz w:val="24"/>
          <w:szCs w:val="24"/>
        </w:rPr>
        <w:t xml:space="preserve"> </w:t>
      </w:r>
      <w:proofErr w:type="spellStart"/>
      <w:r w:rsidRPr="00476E8A">
        <w:rPr>
          <w:rFonts w:ascii="Times New Roman" w:hAnsi="Times New Roman" w:cs="Times New Roman"/>
          <w:bCs/>
          <w:i/>
          <w:sz w:val="24"/>
          <w:szCs w:val="24"/>
        </w:rPr>
        <w:t>restriction</w:t>
      </w:r>
      <w:proofErr w:type="spellEnd"/>
      <w:r w:rsidRPr="00476E8A">
        <w:rPr>
          <w:rFonts w:ascii="Times New Roman" w:hAnsi="Times New Roman" w:cs="Times New Roman"/>
          <w:bCs/>
          <w:i/>
          <w:sz w:val="24"/>
          <w:szCs w:val="24"/>
        </w:rPr>
        <w:t>.</w:t>
      </w:r>
      <w:r>
        <w:t xml:space="preserve"> </w:t>
      </w:r>
      <w:r>
        <w:rPr>
          <w:rFonts w:ascii="Times New Roman" w:hAnsi="Times New Roman" w:cs="Times New Roman"/>
          <w:bCs/>
          <w:i/>
          <w:sz w:val="24"/>
          <w:szCs w:val="24"/>
        </w:rPr>
        <w:t xml:space="preserve">   </w:t>
      </w:r>
      <w:proofErr w:type="spellStart"/>
      <w:r w:rsidRPr="001D2EEE">
        <w:rPr>
          <w:rFonts w:ascii="Times New Roman" w:hAnsi="Times New Roman" w:cs="Times New Roman"/>
          <w:bCs/>
          <w:i/>
          <w:sz w:val="24"/>
          <w:szCs w:val="24"/>
        </w:rPr>
        <w:t>Often</w:t>
      </w:r>
      <w:proofErr w:type="spellEnd"/>
      <w:r w:rsidRPr="001D2EEE">
        <w:rPr>
          <w:rFonts w:ascii="Times New Roman" w:hAnsi="Times New Roman" w:cs="Times New Roman"/>
          <w:bCs/>
          <w:i/>
          <w:sz w:val="24"/>
          <w:szCs w:val="24"/>
        </w:rPr>
        <w:t xml:space="preserve"> </w:t>
      </w:r>
      <w:proofErr w:type="spellStart"/>
      <w:r w:rsidRPr="001D2EEE">
        <w:rPr>
          <w:rFonts w:ascii="Times New Roman" w:hAnsi="Times New Roman" w:cs="Times New Roman"/>
          <w:bCs/>
          <w:i/>
          <w:sz w:val="24"/>
          <w:szCs w:val="24"/>
        </w:rPr>
        <w:t>equality</w:t>
      </w:r>
      <w:proofErr w:type="spellEnd"/>
      <w:r w:rsidRPr="001D2EEE">
        <w:rPr>
          <w:rFonts w:ascii="Times New Roman" w:hAnsi="Times New Roman" w:cs="Times New Roman"/>
          <w:bCs/>
          <w:i/>
          <w:sz w:val="24"/>
          <w:szCs w:val="24"/>
        </w:rPr>
        <w:t xml:space="preserve"> </w:t>
      </w:r>
      <w:proofErr w:type="spellStart"/>
      <w:r w:rsidRPr="001D2EEE">
        <w:rPr>
          <w:rFonts w:ascii="Times New Roman" w:hAnsi="Times New Roman" w:cs="Times New Roman"/>
          <w:bCs/>
          <w:i/>
          <w:sz w:val="24"/>
          <w:szCs w:val="24"/>
        </w:rPr>
        <w:t>is</w:t>
      </w:r>
      <w:proofErr w:type="spellEnd"/>
      <w:r w:rsidRPr="001D2EEE">
        <w:rPr>
          <w:rFonts w:ascii="Times New Roman" w:hAnsi="Times New Roman" w:cs="Times New Roman"/>
          <w:bCs/>
          <w:i/>
          <w:sz w:val="24"/>
          <w:szCs w:val="24"/>
        </w:rPr>
        <w:t xml:space="preserve"> </w:t>
      </w:r>
      <w:proofErr w:type="spellStart"/>
      <w:r w:rsidRPr="001D2EEE">
        <w:rPr>
          <w:rFonts w:ascii="Times New Roman" w:hAnsi="Times New Roman" w:cs="Times New Roman"/>
          <w:bCs/>
          <w:i/>
          <w:sz w:val="24"/>
          <w:szCs w:val="24"/>
        </w:rPr>
        <w:t>an</w:t>
      </w:r>
      <w:proofErr w:type="spellEnd"/>
      <w:r w:rsidRPr="001D2EEE">
        <w:rPr>
          <w:rFonts w:ascii="Times New Roman" w:hAnsi="Times New Roman" w:cs="Times New Roman"/>
          <w:bCs/>
          <w:i/>
          <w:sz w:val="24"/>
          <w:szCs w:val="24"/>
        </w:rPr>
        <w:t xml:space="preserve"> </w:t>
      </w:r>
      <w:proofErr w:type="spellStart"/>
      <w:r w:rsidRPr="001D2EEE">
        <w:rPr>
          <w:rFonts w:ascii="Times New Roman" w:hAnsi="Times New Roman" w:cs="Times New Roman"/>
          <w:bCs/>
          <w:i/>
          <w:sz w:val="24"/>
          <w:szCs w:val="24"/>
        </w:rPr>
        <w:t>area</w:t>
      </w:r>
      <w:proofErr w:type="spellEnd"/>
      <w:r w:rsidRPr="001D2EEE">
        <w:rPr>
          <w:rFonts w:ascii="Times New Roman" w:hAnsi="Times New Roman" w:cs="Times New Roman"/>
          <w:bCs/>
          <w:i/>
          <w:sz w:val="24"/>
          <w:szCs w:val="24"/>
        </w:rPr>
        <w:t xml:space="preserve"> </w:t>
      </w:r>
      <w:proofErr w:type="spellStart"/>
      <w:r w:rsidRPr="001D2EEE">
        <w:rPr>
          <w:rFonts w:ascii="Times New Roman" w:hAnsi="Times New Roman" w:cs="Times New Roman"/>
          <w:bCs/>
          <w:i/>
          <w:sz w:val="24"/>
          <w:szCs w:val="24"/>
        </w:rPr>
        <w:t>in</w:t>
      </w:r>
      <w:proofErr w:type="spellEnd"/>
      <w:r w:rsidRPr="001D2EEE">
        <w:rPr>
          <w:rFonts w:ascii="Times New Roman" w:hAnsi="Times New Roman" w:cs="Times New Roman"/>
          <w:bCs/>
          <w:i/>
          <w:sz w:val="24"/>
          <w:szCs w:val="24"/>
        </w:rPr>
        <w:t xml:space="preserve"> </w:t>
      </w:r>
      <w:proofErr w:type="spellStart"/>
      <w:r w:rsidRPr="001D2EEE">
        <w:rPr>
          <w:rFonts w:ascii="Times New Roman" w:hAnsi="Times New Roman" w:cs="Times New Roman"/>
          <w:bCs/>
          <w:i/>
          <w:sz w:val="24"/>
          <w:szCs w:val="24"/>
        </w:rPr>
        <w:t>which</w:t>
      </w:r>
      <w:proofErr w:type="spellEnd"/>
      <w:r w:rsidRPr="001D2EEE">
        <w:rPr>
          <w:rFonts w:ascii="Times New Roman" w:hAnsi="Times New Roman" w:cs="Times New Roman"/>
          <w:bCs/>
          <w:i/>
          <w:sz w:val="24"/>
          <w:szCs w:val="24"/>
        </w:rPr>
        <w:t xml:space="preserve"> </w:t>
      </w:r>
      <w:proofErr w:type="spellStart"/>
      <w:r w:rsidRPr="001D2EEE">
        <w:rPr>
          <w:rFonts w:ascii="Times New Roman" w:hAnsi="Times New Roman" w:cs="Times New Roman"/>
          <w:bCs/>
          <w:i/>
          <w:sz w:val="24"/>
          <w:szCs w:val="24"/>
        </w:rPr>
        <w:t>the</w:t>
      </w:r>
      <w:proofErr w:type="spellEnd"/>
      <w:r w:rsidRPr="001D2EEE">
        <w:rPr>
          <w:rFonts w:ascii="Times New Roman" w:hAnsi="Times New Roman" w:cs="Times New Roman"/>
          <w:bCs/>
          <w:i/>
          <w:sz w:val="24"/>
          <w:szCs w:val="24"/>
        </w:rPr>
        <w:t xml:space="preserve"> </w:t>
      </w:r>
      <w:proofErr w:type="spellStart"/>
      <w:r w:rsidRPr="001D2EEE">
        <w:rPr>
          <w:rFonts w:ascii="Times New Roman" w:hAnsi="Times New Roman" w:cs="Times New Roman"/>
          <w:bCs/>
          <w:i/>
          <w:sz w:val="24"/>
          <w:szCs w:val="24"/>
        </w:rPr>
        <w:t>rights</w:t>
      </w:r>
      <w:proofErr w:type="spellEnd"/>
      <w:r w:rsidRPr="001D2EEE">
        <w:rPr>
          <w:rFonts w:ascii="Times New Roman" w:hAnsi="Times New Roman" w:cs="Times New Roman"/>
          <w:bCs/>
          <w:i/>
          <w:sz w:val="24"/>
          <w:szCs w:val="24"/>
        </w:rPr>
        <w:t xml:space="preserve"> </w:t>
      </w:r>
      <w:proofErr w:type="spellStart"/>
      <w:r w:rsidRPr="001D2EEE">
        <w:rPr>
          <w:rFonts w:ascii="Times New Roman" w:hAnsi="Times New Roman" w:cs="Times New Roman"/>
          <w:bCs/>
          <w:i/>
          <w:sz w:val="24"/>
          <w:szCs w:val="24"/>
        </w:rPr>
        <w:t>are</w:t>
      </w:r>
      <w:proofErr w:type="spellEnd"/>
      <w:r w:rsidRPr="001D2EEE">
        <w:rPr>
          <w:rFonts w:ascii="Times New Roman" w:hAnsi="Times New Roman" w:cs="Times New Roman"/>
          <w:bCs/>
          <w:i/>
          <w:sz w:val="24"/>
          <w:szCs w:val="24"/>
        </w:rPr>
        <w:t xml:space="preserve"> </w:t>
      </w:r>
      <w:proofErr w:type="spellStart"/>
      <w:r w:rsidRPr="001D2EEE">
        <w:rPr>
          <w:rFonts w:ascii="Times New Roman" w:hAnsi="Times New Roman" w:cs="Times New Roman"/>
          <w:bCs/>
          <w:i/>
          <w:sz w:val="24"/>
          <w:szCs w:val="24"/>
        </w:rPr>
        <w:t>exercised</w:t>
      </w:r>
      <w:proofErr w:type="spellEnd"/>
      <w:r w:rsidRPr="001D2EEE">
        <w:rPr>
          <w:rFonts w:ascii="Times New Roman" w:hAnsi="Times New Roman" w:cs="Times New Roman"/>
          <w:bCs/>
          <w:i/>
          <w:sz w:val="24"/>
          <w:szCs w:val="24"/>
        </w:rPr>
        <w:t xml:space="preserve">. </w:t>
      </w:r>
      <w:proofErr w:type="spellStart"/>
      <w:r w:rsidRPr="001D2EEE">
        <w:rPr>
          <w:rFonts w:ascii="Times New Roman" w:hAnsi="Times New Roman" w:cs="Times New Roman"/>
          <w:bCs/>
          <w:i/>
          <w:sz w:val="24"/>
          <w:szCs w:val="24"/>
        </w:rPr>
        <w:t>It</w:t>
      </w:r>
      <w:proofErr w:type="spellEnd"/>
      <w:r w:rsidRPr="001D2EEE">
        <w:rPr>
          <w:rFonts w:ascii="Times New Roman" w:hAnsi="Times New Roman" w:cs="Times New Roman"/>
          <w:bCs/>
          <w:i/>
          <w:sz w:val="24"/>
          <w:szCs w:val="24"/>
        </w:rPr>
        <w:t xml:space="preserve"> </w:t>
      </w:r>
      <w:proofErr w:type="spellStart"/>
      <w:r w:rsidRPr="001D2EEE">
        <w:rPr>
          <w:rFonts w:ascii="Times New Roman" w:hAnsi="Times New Roman" w:cs="Times New Roman"/>
          <w:bCs/>
          <w:i/>
          <w:sz w:val="24"/>
          <w:szCs w:val="24"/>
        </w:rPr>
        <w:t>is</w:t>
      </w:r>
      <w:proofErr w:type="spellEnd"/>
      <w:r w:rsidRPr="001D2EEE">
        <w:rPr>
          <w:rFonts w:ascii="Times New Roman" w:hAnsi="Times New Roman" w:cs="Times New Roman"/>
          <w:bCs/>
          <w:i/>
          <w:sz w:val="24"/>
          <w:szCs w:val="24"/>
        </w:rPr>
        <w:t xml:space="preserve"> </w:t>
      </w:r>
      <w:proofErr w:type="spellStart"/>
      <w:r w:rsidRPr="001D2EEE">
        <w:rPr>
          <w:rFonts w:ascii="Times New Roman" w:hAnsi="Times New Roman" w:cs="Times New Roman"/>
          <w:bCs/>
          <w:i/>
          <w:sz w:val="24"/>
          <w:szCs w:val="24"/>
        </w:rPr>
        <w:t>self</w:t>
      </w:r>
      <w:proofErr w:type="spellEnd"/>
      <w:r w:rsidRPr="001D2EEE">
        <w:rPr>
          <w:rFonts w:ascii="Times New Roman" w:hAnsi="Times New Roman" w:cs="Times New Roman"/>
          <w:bCs/>
          <w:i/>
          <w:sz w:val="24"/>
          <w:szCs w:val="24"/>
        </w:rPr>
        <w:t xml:space="preserve"> </w:t>
      </w:r>
      <w:proofErr w:type="spellStart"/>
      <w:r w:rsidRPr="001D2EEE">
        <w:rPr>
          <w:rFonts w:ascii="Times New Roman" w:hAnsi="Times New Roman" w:cs="Times New Roman"/>
          <w:bCs/>
          <w:i/>
          <w:sz w:val="24"/>
          <w:szCs w:val="24"/>
        </w:rPr>
        <w:t>fundamental</w:t>
      </w:r>
      <w:proofErr w:type="spellEnd"/>
      <w:r w:rsidRPr="001D2EEE">
        <w:rPr>
          <w:rFonts w:ascii="Times New Roman" w:hAnsi="Times New Roman" w:cs="Times New Roman"/>
          <w:bCs/>
          <w:i/>
          <w:sz w:val="24"/>
          <w:szCs w:val="24"/>
        </w:rPr>
        <w:t xml:space="preserve"> </w:t>
      </w:r>
      <w:proofErr w:type="spellStart"/>
      <w:r w:rsidRPr="001D2EEE">
        <w:rPr>
          <w:rFonts w:ascii="Times New Roman" w:hAnsi="Times New Roman" w:cs="Times New Roman"/>
          <w:bCs/>
          <w:i/>
          <w:sz w:val="24"/>
          <w:szCs w:val="24"/>
        </w:rPr>
        <w:t>right</w:t>
      </w:r>
      <w:proofErr w:type="spellEnd"/>
      <w:r w:rsidRPr="001D2EEE">
        <w:rPr>
          <w:rFonts w:ascii="Times New Roman" w:hAnsi="Times New Roman" w:cs="Times New Roman"/>
          <w:bCs/>
          <w:i/>
          <w:sz w:val="24"/>
          <w:szCs w:val="24"/>
        </w:rPr>
        <w:t xml:space="preserve"> </w:t>
      </w:r>
      <w:proofErr w:type="spellStart"/>
      <w:r w:rsidRPr="001D2EEE">
        <w:rPr>
          <w:rFonts w:ascii="Times New Roman" w:hAnsi="Times New Roman" w:cs="Times New Roman"/>
          <w:bCs/>
          <w:i/>
          <w:sz w:val="24"/>
          <w:szCs w:val="24"/>
        </w:rPr>
        <w:t>their</w:t>
      </w:r>
      <w:proofErr w:type="spellEnd"/>
      <w:r w:rsidRPr="001D2EEE">
        <w:rPr>
          <w:rFonts w:ascii="Times New Roman" w:hAnsi="Times New Roman" w:cs="Times New Roman"/>
          <w:bCs/>
          <w:i/>
          <w:sz w:val="24"/>
          <w:szCs w:val="24"/>
        </w:rPr>
        <w:t xml:space="preserve"> </w:t>
      </w:r>
      <w:proofErr w:type="spellStart"/>
      <w:r w:rsidRPr="001D2EEE">
        <w:rPr>
          <w:rFonts w:ascii="Times New Roman" w:hAnsi="Times New Roman" w:cs="Times New Roman"/>
          <w:bCs/>
          <w:i/>
          <w:sz w:val="24"/>
          <w:szCs w:val="24"/>
        </w:rPr>
        <w:t>corrective</w:t>
      </w:r>
      <w:proofErr w:type="spellEnd"/>
      <w:r w:rsidRPr="001D2EEE">
        <w:rPr>
          <w:rFonts w:ascii="Times New Roman" w:hAnsi="Times New Roman" w:cs="Times New Roman"/>
          <w:bCs/>
          <w:i/>
          <w:sz w:val="24"/>
          <w:szCs w:val="24"/>
        </w:rPr>
        <w:t xml:space="preserve"> </w:t>
      </w:r>
      <w:proofErr w:type="spellStart"/>
      <w:r w:rsidRPr="001D2EEE">
        <w:rPr>
          <w:rFonts w:ascii="Times New Roman" w:hAnsi="Times New Roman" w:cs="Times New Roman"/>
          <w:bCs/>
          <w:i/>
          <w:sz w:val="24"/>
          <w:szCs w:val="24"/>
        </w:rPr>
        <w:t>or</w:t>
      </w:r>
      <w:proofErr w:type="spellEnd"/>
      <w:r w:rsidRPr="001D2EEE">
        <w:rPr>
          <w:rFonts w:ascii="Times New Roman" w:hAnsi="Times New Roman" w:cs="Times New Roman"/>
          <w:bCs/>
          <w:i/>
          <w:sz w:val="24"/>
          <w:szCs w:val="24"/>
        </w:rPr>
        <w:t xml:space="preserve"> </w:t>
      </w:r>
      <w:proofErr w:type="spellStart"/>
      <w:r w:rsidRPr="001D2EEE">
        <w:rPr>
          <w:rFonts w:ascii="Times New Roman" w:hAnsi="Times New Roman" w:cs="Times New Roman"/>
          <w:bCs/>
          <w:i/>
          <w:sz w:val="24"/>
          <w:szCs w:val="24"/>
        </w:rPr>
        <w:t>necessary</w:t>
      </w:r>
      <w:proofErr w:type="spellEnd"/>
      <w:r w:rsidRPr="001D2EEE">
        <w:rPr>
          <w:rFonts w:ascii="Times New Roman" w:hAnsi="Times New Roman" w:cs="Times New Roman"/>
          <w:bCs/>
          <w:i/>
          <w:sz w:val="24"/>
          <w:szCs w:val="24"/>
        </w:rPr>
        <w:t xml:space="preserve"> </w:t>
      </w:r>
      <w:proofErr w:type="spellStart"/>
      <w:r w:rsidRPr="001D2EEE">
        <w:rPr>
          <w:rFonts w:ascii="Times New Roman" w:hAnsi="Times New Roman" w:cs="Times New Roman"/>
          <w:bCs/>
          <w:i/>
          <w:sz w:val="24"/>
          <w:szCs w:val="24"/>
        </w:rPr>
        <w:t>hologram</w:t>
      </w:r>
      <w:proofErr w:type="spellEnd"/>
      <w:r w:rsidRPr="001D2EEE">
        <w:rPr>
          <w:rFonts w:ascii="Times New Roman" w:hAnsi="Times New Roman" w:cs="Times New Roman"/>
          <w:bCs/>
          <w:i/>
          <w:sz w:val="24"/>
          <w:szCs w:val="24"/>
        </w:rPr>
        <w:t>.</w:t>
      </w:r>
      <w:r>
        <w:rPr>
          <w:rFonts w:ascii="Times New Roman" w:hAnsi="Times New Roman" w:cs="Times New Roman"/>
          <w:bCs/>
          <w:i/>
          <w:sz w:val="24"/>
          <w:szCs w:val="24"/>
        </w:rPr>
        <w:t xml:space="preserve"> </w:t>
      </w:r>
      <w:r>
        <w:t xml:space="preserve"> </w:t>
      </w:r>
      <w:proofErr w:type="spellStart"/>
      <w:r w:rsidRPr="001D2EEE">
        <w:rPr>
          <w:rFonts w:ascii="Times New Roman" w:hAnsi="Times New Roman" w:cs="Times New Roman"/>
          <w:bCs/>
          <w:i/>
          <w:sz w:val="24"/>
          <w:szCs w:val="24"/>
        </w:rPr>
        <w:t>Discrimination</w:t>
      </w:r>
      <w:proofErr w:type="spellEnd"/>
      <w:r w:rsidRPr="001D2EEE">
        <w:rPr>
          <w:rFonts w:ascii="Times New Roman" w:hAnsi="Times New Roman" w:cs="Times New Roman"/>
          <w:bCs/>
          <w:i/>
          <w:sz w:val="24"/>
          <w:szCs w:val="24"/>
        </w:rPr>
        <w:t xml:space="preserve"> </w:t>
      </w:r>
      <w:proofErr w:type="spellStart"/>
      <w:r w:rsidRPr="001D2EEE">
        <w:rPr>
          <w:rFonts w:ascii="Times New Roman" w:hAnsi="Times New Roman" w:cs="Times New Roman"/>
          <w:bCs/>
          <w:i/>
          <w:sz w:val="24"/>
          <w:szCs w:val="24"/>
        </w:rPr>
        <w:t>is</w:t>
      </w:r>
      <w:proofErr w:type="spellEnd"/>
      <w:r w:rsidRPr="001D2EEE">
        <w:rPr>
          <w:rFonts w:ascii="Times New Roman" w:hAnsi="Times New Roman" w:cs="Times New Roman"/>
          <w:bCs/>
          <w:i/>
          <w:sz w:val="24"/>
          <w:szCs w:val="24"/>
        </w:rPr>
        <w:t xml:space="preserve"> a </w:t>
      </w:r>
      <w:proofErr w:type="spellStart"/>
      <w:r w:rsidRPr="001D2EEE">
        <w:rPr>
          <w:rFonts w:ascii="Times New Roman" w:hAnsi="Times New Roman" w:cs="Times New Roman"/>
          <w:bCs/>
          <w:i/>
          <w:sz w:val="24"/>
          <w:szCs w:val="24"/>
        </w:rPr>
        <w:t>pause</w:t>
      </w:r>
      <w:proofErr w:type="spellEnd"/>
      <w:r w:rsidRPr="001D2EEE">
        <w:rPr>
          <w:rFonts w:ascii="Times New Roman" w:hAnsi="Times New Roman" w:cs="Times New Roman"/>
          <w:bCs/>
          <w:i/>
          <w:sz w:val="24"/>
          <w:szCs w:val="24"/>
        </w:rPr>
        <w:t xml:space="preserve"> </w:t>
      </w:r>
      <w:proofErr w:type="spellStart"/>
      <w:r w:rsidRPr="001D2EEE">
        <w:rPr>
          <w:rFonts w:ascii="Times New Roman" w:hAnsi="Times New Roman" w:cs="Times New Roman"/>
          <w:bCs/>
          <w:i/>
          <w:sz w:val="24"/>
          <w:szCs w:val="24"/>
        </w:rPr>
        <w:t>frame</w:t>
      </w:r>
      <w:proofErr w:type="spellEnd"/>
      <w:r w:rsidRPr="001D2EEE">
        <w:rPr>
          <w:rFonts w:ascii="Times New Roman" w:hAnsi="Times New Roman" w:cs="Times New Roman"/>
          <w:bCs/>
          <w:i/>
          <w:sz w:val="24"/>
          <w:szCs w:val="24"/>
        </w:rPr>
        <w:t xml:space="preserve"> </w:t>
      </w:r>
      <w:proofErr w:type="spellStart"/>
      <w:r w:rsidRPr="001D2EEE">
        <w:rPr>
          <w:rFonts w:ascii="Times New Roman" w:hAnsi="Times New Roman" w:cs="Times New Roman"/>
          <w:bCs/>
          <w:i/>
          <w:sz w:val="24"/>
          <w:szCs w:val="24"/>
        </w:rPr>
        <w:t>that</w:t>
      </w:r>
      <w:proofErr w:type="spellEnd"/>
      <w:r w:rsidRPr="001D2EEE">
        <w:rPr>
          <w:rFonts w:ascii="Times New Roman" w:hAnsi="Times New Roman" w:cs="Times New Roman"/>
          <w:bCs/>
          <w:i/>
          <w:sz w:val="24"/>
          <w:szCs w:val="24"/>
        </w:rPr>
        <w:t xml:space="preserve"> </w:t>
      </w:r>
      <w:proofErr w:type="spellStart"/>
      <w:r w:rsidRPr="001D2EEE">
        <w:rPr>
          <w:rFonts w:ascii="Times New Roman" w:hAnsi="Times New Roman" w:cs="Times New Roman"/>
          <w:bCs/>
          <w:i/>
          <w:sz w:val="24"/>
          <w:szCs w:val="24"/>
        </w:rPr>
        <w:t>shows</w:t>
      </w:r>
      <w:proofErr w:type="spellEnd"/>
      <w:r w:rsidRPr="001D2EEE">
        <w:rPr>
          <w:rFonts w:ascii="Times New Roman" w:hAnsi="Times New Roman" w:cs="Times New Roman"/>
          <w:bCs/>
          <w:i/>
          <w:sz w:val="24"/>
          <w:szCs w:val="24"/>
        </w:rPr>
        <w:t xml:space="preserve"> </w:t>
      </w:r>
      <w:proofErr w:type="spellStart"/>
      <w:r w:rsidRPr="001D2EEE">
        <w:rPr>
          <w:rFonts w:ascii="Times New Roman" w:hAnsi="Times New Roman" w:cs="Times New Roman"/>
          <w:bCs/>
          <w:i/>
          <w:sz w:val="24"/>
          <w:szCs w:val="24"/>
        </w:rPr>
        <w:t>the</w:t>
      </w:r>
      <w:proofErr w:type="spellEnd"/>
      <w:r w:rsidRPr="001D2EEE">
        <w:rPr>
          <w:rFonts w:ascii="Times New Roman" w:hAnsi="Times New Roman" w:cs="Times New Roman"/>
          <w:bCs/>
          <w:i/>
          <w:sz w:val="24"/>
          <w:szCs w:val="24"/>
        </w:rPr>
        <w:t xml:space="preserve"> </w:t>
      </w:r>
      <w:proofErr w:type="spellStart"/>
      <w:r w:rsidRPr="001D2EEE">
        <w:rPr>
          <w:rFonts w:ascii="Times New Roman" w:hAnsi="Times New Roman" w:cs="Times New Roman"/>
          <w:bCs/>
          <w:i/>
          <w:sz w:val="24"/>
          <w:szCs w:val="24"/>
        </w:rPr>
        <w:t>relationship</w:t>
      </w:r>
      <w:proofErr w:type="spellEnd"/>
      <w:r w:rsidRPr="001D2EEE">
        <w:rPr>
          <w:rFonts w:ascii="Times New Roman" w:hAnsi="Times New Roman" w:cs="Times New Roman"/>
          <w:bCs/>
          <w:i/>
          <w:sz w:val="24"/>
          <w:szCs w:val="24"/>
        </w:rPr>
        <w:t xml:space="preserve"> </w:t>
      </w:r>
      <w:r>
        <w:rPr>
          <w:rFonts w:ascii="Times New Roman" w:hAnsi="Times New Roman" w:cs="Times New Roman"/>
          <w:bCs/>
          <w:i/>
          <w:sz w:val="24"/>
          <w:szCs w:val="24"/>
        </w:rPr>
        <w:t>'</w:t>
      </w:r>
      <w:proofErr w:type="spellStart"/>
      <w:r>
        <w:rPr>
          <w:rFonts w:ascii="Times New Roman" w:hAnsi="Times New Roman" w:cs="Times New Roman"/>
          <w:bCs/>
          <w:i/>
          <w:sz w:val="24"/>
          <w:szCs w:val="24"/>
        </w:rPr>
        <w:t>fundamental</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rights</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equality</w:t>
      </w:r>
      <w:proofErr w:type="spellEnd"/>
      <w:r>
        <w:rPr>
          <w:rFonts w:ascii="Times New Roman" w:hAnsi="Times New Roman" w:cs="Times New Roman"/>
          <w:bCs/>
          <w:i/>
          <w:sz w:val="24"/>
          <w:szCs w:val="24"/>
        </w:rPr>
        <w:t xml:space="preserve">. </w:t>
      </w:r>
      <w:r>
        <w:t xml:space="preserve"> </w:t>
      </w:r>
      <w:proofErr w:type="spellStart"/>
      <w:r w:rsidRPr="001D2EEE">
        <w:rPr>
          <w:rFonts w:ascii="Times New Roman" w:hAnsi="Times New Roman" w:cs="Times New Roman"/>
          <w:bCs/>
          <w:i/>
          <w:sz w:val="24"/>
          <w:szCs w:val="24"/>
        </w:rPr>
        <w:t>The</w:t>
      </w:r>
      <w:proofErr w:type="spellEnd"/>
      <w:r w:rsidRPr="001D2EEE">
        <w:rPr>
          <w:rFonts w:ascii="Times New Roman" w:hAnsi="Times New Roman" w:cs="Times New Roman"/>
          <w:bCs/>
          <w:i/>
          <w:sz w:val="24"/>
          <w:szCs w:val="24"/>
        </w:rPr>
        <w:t xml:space="preserve"> </w:t>
      </w:r>
      <w:proofErr w:type="spellStart"/>
      <w:r w:rsidRPr="001D2EEE">
        <w:rPr>
          <w:rFonts w:ascii="Times New Roman" w:hAnsi="Times New Roman" w:cs="Times New Roman"/>
          <w:bCs/>
          <w:i/>
          <w:sz w:val="24"/>
          <w:szCs w:val="24"/>
        </w:rPr>
        <w:t>task</w:t>
      </w:r>
      <w:proofErr w:type="spellEnd"/>
      <w:r w:rsidRPr="001D2EEE">
        <w:rPr>
          <w:rFonts w:ascii="Times New Roman" w:hAnsi="Times New Roman" w:cs="Times New Roman"/>
          <w:bCs/>
          <w:i/>
          <w:sz w:val="24"/>
          <w:szCs w:val="24"/>
        </w:rPr>
        <w:t xml:space="preserve"> </w:t>
      </w:r>
      <w:proofErr w:type="spellStart"/>
      <w:r w:rsidRPr="001D2EEE">
        <w:rPr>
          <w:rFonts w:ascii="Times New Roman" w:hAnsi="Times New Roman" w:cs="Times New Roman"/>
          <w:bCs/>
          <w:i/>
          <w:sz w:val="24"/>
          <w:szCs w:val="24"/>
        </w:rPr>
        <w:t>of</w:t>
      </w:r>
      <w:proofErr w:type="spellEnd"/>
      <w:r w:rsidRPr="001D2EEE">
        <w:rPr>
          <w:rFonts w:ascii="Times New Roman" w:hAnsi="Times New Roman" w:cs="Times New Roman"/>
          <w:bCs/>
          <w:i/>
          <w:sz w:val="24"/>
          <w:szCs w:val="24"/>
        </w:rPr>
        <w:t xml:space="preserve"> </w:t>
      </w:r>
      <w:proofErr w:type="spellStart"/>
      <w:r w:rsidRPr="001D2EEE">
        <w:rPr>
          <w:rFonts w:ascii="Times New Roman" w:hAnsi="Times New Roman" w:cs="Times New Roman"/>
          <w:bCs/>
          <w:i/>
          <w:sz w:val="24"/>
          <w:szCs w:val="24"/>
        </w:rPr>
        <w:t>the</w:t>
      </w:r>
      <w:proofErr w:type="spellEnd"/>
      <w:r w:rsidRPr="001D2EEE">
        <w:rPr>
          <w:rFonts w:ascii="Times New Roman" w:hAnsi="Times New Roman" w:cs="Times New Roman"/>
          <w:bCs/>
          <w:i/>
          <w:sz w:val="24"/>
          <w:szCs w:val="24"/>
        </w:rPr>
        <w:t xml:space="preserve"> </w:t>
      </w:r>
      <w:proofErr w:type="spellStart"/>
      <w:r w:rsidRPr="001D2EEE">
        <w:rPr>
          <w:rFonts w:ascii="Times New Roman" w:hAnsi="Times New Roman" w:cs="Times New Roman"/>
          <w:bCs/>
          <w:i/>
          <w:sz w:val="24"/>
          <w:szCs w:val="24"/>
        </w:rPr>
        <w:t>Constitutional</w:t>
      </w:r>
      <w:proofErr w:type="spellEnd"/>
      <w:r w:rsidRPr="001D2EEE">
        <w:rPr>
          <w:rFonts w:ascii="Times New Roman" w:hAnsi="Times New Roman" w:cs="Times New Roman"/>
          <w:bCs/>
          <w:i/>
          <w:sz w:val="24"/>
          <w:szCs w:val="24"/>
        </w:rPr>
        <w:t xml:space="preserve"> </w:t>
      </w:r>
      <w:proofErr w:type="spellStart"/>
      <w:r w:rsidRPr="001D2EEE">
        <w:rPr>
          <w:rFonts w:ascii="Times New Roman" w:hAnsi="Times New Roman" w:cs="Times New Roman"/>
          <w:bCs/>
          <w:i/>
          <w:sz w:val="24"/>
          <w:szCs w:val="24"/>
        </w:rPr>
        <w:t>Court</w:t>
      </w:r>
      <w:proofErr w:type="spellEnd"/>
      <w:r w:rsidRPr="001D2EEE">
        <w:rPr>
          <w:rFonts w:ascii="Times New Roman" w:hAnsi="Times New Roman" w:cs="Times New Roman"/>
          <w:bCs/>
          <w:i/>
          <w:sz w:val="24"/>
          <w:szCs w:val="24"/>
        </w:rPr>
        <w:t xml:space="preserve"> </w:t>
      </w:r>
      <w:proofErr w:type="spellStart"/>
      <w:r w:rsidRPr="001D2EEE">
        <w:rPr>
          <w:rFonts w:ascii="Times New Roman" w:hAnsi="Times New Roman" w:cs="Times New Roman"/>
          <w:bCs/>
          <w:i/>
          <w:sz w:val="24"/>
          <w:szCs w:val="24"/>
        </w:rPr>
        <w:t>is</w:t>
      </w:r>
      <w:proofErr w:type="spellEnd"/>
      <w:r w:rsidRPr="001D2EEE">
        <w:rPr>
          <w:rFonts w:ascii="Times New Roman" w:hAnsi="Times New Roman" w:cs="Times New Roman"/>
          <w:bCs/>
          <w:i/>
          <w:sz w:val="24"/>
          <w:szCs w:val="24"/>
        </w:rPr>
        <w:t xml:space="preserve"> </w:t>
      </w:r>
      <w:proofErr w:type="spellStart"/>
      <w:r w:rsidRPr="001D2EEE">
        <w:rPr>
          <w:rFonts w:ascii="Times New Roman" w:hAnsi="Times New Roman" w:cs="Times New Roman"/>
          <w:bCs/>
          <w:i/>
          <w:sz w:val="24"/>
          <w:szCs w:val="24"/>
        </w:rPr>
        <w:t>difficult</w:t>
      </w:r>
      <w:proofErr w:type="spellEnd"/>
      <w:r w:rsidRPr="001D2EEE">
        <w:rPr>
          <w:rFonts w:ascii="Times New Roman" w:hAnsi="Times New Roman" w:cs="Times New Roman"/>
          <w:bCs/>
          <w:i/>
          <w:sz w:val="24"/>
          <w:szCs w:val="24"/>
        </w:rPr>
        <w:t xml:space="preserve"> </w:t>
      </w:r>
      <w:proofErr w:type="spellStart"/>
      <w:r w:rsidRPr="001D2EEE">
        <w:rPr>
          <w:rFonts w:ascii="Times New Roman" w:hAnsi="Times New Roman" w:cs="Times New Roman"/>
          <w:bCs/>
          <w:i/>
          <w:sz w:val="24"/>
          <w:szCs w:val="24"/>
        </w:rPr>
        <w:t>because</w:t>
      </w:r>
      <w:proofErr w:type="spellEnd"/>
      <w:r w:rsidRPr="001D2EEE">
        <w:rPr>
          <w:rFonts w:ascii="Times New Roman" w:hAnsi="Times New Roman" w:cs="Times New Roman"/>
          <w:bCs/>
          <w:i/>
          <w:sz w:val="24"/>
          <w:szCs w:val="24"/>
        </w:rPr>
        <w:t xml:space="preserve"> </w:t>
      </w:r>
      <w:proofErr w:type="spellStart"/>
      <w:r w:rsidRPr="001D2EEE">
        <w:rPr>
          <w:rFonts w:ascii="Times New Roman" w:hAnsi="Times New Roman" w:cs="Times New Roman"/>
          <w:bCs/>
          <w:i/>
          <w:sz w:val="24"/>
          <w:szCs w:val="24"/>
        </w:rPr>
        <w:t>it</w:t>
      </w:r>
      <w:proofErr w:type="spellEnd"/>
      <w:r w:rsidRPr="001D2EEE">
        <w:rPr>
          <w:rFonts w:ascii="Times New Roman" w:hAnsi="Times New Roman" w:cs="Times New Roman"/>
          <w:bCs/>
          <w:i/>
          <w:sz w:val="24"/>
          <w:szCs w:val="24"/>
        </w:rPr>
        <w:t xml:space="preserve"> </w:t>
      </w:r>
      <w:proofErr w:type="spellStart"/>
      <w:r w:rsidRPr="001D2EEE">
        <w:rPr>
          <w:rFonts w:ascii="Times New Roman" w:hAnsi="Times New Roman" w:cs="Times New Roman"/>
          <w:bCs/>
          <w:i/>
          <w:sz w:val="24"/>
          <w:szCs w:val="24"/>
        </w:rPr>
        <w:t>has</w:t>
      </w:r>
      <w:proofErr w:type="spellEnd"/>
      <w:r w:rsidRPr="001D2EEE">
        <w:rPr>
          <w:rFonts w:ascii="Times New Roman" w:hAnsi="Times New Roman" w:cs="Times New Roman"/>
          <w:bCs/>
          <w:i/>
          <w:sz w:val="24"/>
          <w:szCs w:val="24"/>
        </w:rPr>
        <w:t xml:space="preserve"> </w:t>
      </w:r>
      <w:proofErr w:type="spellStart"/>
      <w:r w:rsidRPr="001D2EEE">
        <w:rPr>
          <w:rFonts w:ascii="Times New Roman" w:hAnsi="Times New Roman" w:cs="Times New Roman"/>
          <w:bCs/>
          <w:i/>
          <w:sz w:val="24"/>
          <w:szCs w:val="24"/>
        </w:rPr>
        <w:t>to</w:t>
      </w:r>
      <w:proofErr w:type="spellEnd"/>
      <w:r w:rsidRPr="001D2EEE">
        <w:rPr>
          <w:rFonts w:ascii="Times New Roman" w:hAnsi="Times New Roman" w:cs="Times New Roman"/>
          <w:bCs/>
          <w:i/>
          <w:sz w:val="24"/>
          <w:szCs w:val="24"/>
        </w:rPr>
        <w:t xml:space="preserve"> </w:t>
      </w:r>
      <w:proofErr w:type="spellStart"/>
      <w:r w:rsidRPr="001D2EEE">
        <w:rPr>
          <w:rFonts w:ascii="Times New Roman" w:hAnsi="Times New Roman" w:cs="Times New Roman"/>
          <w:bCs/>
          <w:i/>
          <w:sz w:val="24"/>
          <w:szCs w:val="24"/>
        </w:rPr>
        <w:t>say</w:t>
      </w:r>
      <w:proofErr w:type="spellEnd"/>
      <w:r w:rsidRPr="001D2EEE">
        <w:rPr>
          <w:rFonts w:ascii="Times New Roman" w:hAnsi="Times New Roman" w:cs="Times New Roman"/>
          <w:bCs/>
          <w:i/>
          <w:sz w:val="24"/>
          <w:szCs w:val="24"/>
        </w:rPr>
        <w:t xml:space="preserve"> </w:t>
      </w:r>
      <w:proofErr w:type="spellStart"/>
      <w:r w:rsidRPr="001D2EEE">
        <w:rPr>
          <w:rFonts w:ascii="Times New Roman" w:hAnsi="Times New Roman" w:cs="Times New Roman"/>
          <w:bCs/>
          <w:i/>
          <w:sz w:val="24"/>
          <w:szCs w:val="24"/>
        </w:rPr>
        <w:t>when</w:t>
      </w:r>
      <w:proofErr w:type="spellEnd"/>
      <w:r w:rsidRPr="001D2EEE">
        <w:rPr>
          <w:rFonts w:ascii="Times New Roman" w:hAnsi="Times New Roman" w:cs="Times New Roman"/>
          <w:bCs/>
          <w:i/>
          <w:sz w:val="24"/>
          <w:szCs w:val="24"/>
        </w:rPr>
        <w:t xml:space="preserve"> </w:t>
      </w:r>
      <w:proofErr w:type="spellStart"/>
      <w:r w:rsidRPr="001D2EEE">
        <w:rPr>
          <w:rFonts w:ascii="Times New Roman" w:hAnsi="Times New Roman" w:cs="Times New Roman"/>
          <w:bCs/>
          <w:i/>
          <w:sz w:val="24"/>
          <w:szCs w:val="24"/>
        </w:rPr>
        <w:t>this</w:t>
      </w:r>
      <w:proofErr w:type="spellEnd"/>
      <w:r w:rsidRPr="001D2EEE">
        <w:rPr>
          <w:rFonts w:ascii="Times New Roman" w:hAnsi="Times New Roman" w:cs="Times New Roman"/>
          <w:bCs/>
          <w:i/>
          <w:sz w:val="24"/>
          <w:szCs w:val="24"/>
        </w:rPr>
        <w:t xml:space="preserve"> </w:t>
      </w:r>
      <w:proofErr w:type="spellStart"/>
      <w:r w:rsidRPr="001D2EEE">
        <w:rPr>
          <w:rFonts w:ascii="Times New Roman" w:hAnsi="Times New Roman" w:cs="Times New Roman"/>
          <w:bCs/>
          <w:i/>
          <w:sz w:val="24"/>
          <w:szCs w:val="24"/>
        </w:rPr>
        <w:t>interaction</w:t>
      </w:r>
      <w:proofErr w:type="spellEnd"/>
      <w:r w:rsidRPr="001D2EEE">
        <w:rPr>
          <w:rFonts w:ascii="Times New Roman" w:hAnsi="Times New Roman" w:cs="Times New Roman"/>
          <w:bCs/>
          <w:i/>
          <w:sz w:val="24"/>
          <w:szCs w:val="24"/>
        </w:rPr>
        <w:t xml:space="preserve"> </w:t>
      </w:r>
      <w:proofErr w:type="spellStart"/>
      <w:r w:rsidRPr="001D2EEE">
        <w:rPr>
          <w:rFonts w:ascii="Times New Roman" w:hAnsi="Times New Roman" w:cs="Times New Roman"/>
          <w:bCs/>
          <w:i/>
          <w:sz w:val="24"/>
          <w:szCs w:val="24"/>
        </w:rPr>
        <w:t>is</w:t>
      </w:r>
      <w:proofErr w:type="spellEnd"/>
      <w:r w:rsidRPr="001D2EEE">
        <w:rPr>
          <w:rFonts w:ascii="Times New Roman" w:hAnsi="Times New Roman" w:cs="Times New Roman"/>
          <w:bCs/>
          <w:i/>
          <w:sz w:val="24"/>
          <w:szCs w:val="24"/>
        </w:rPr>
        <w:t xml:space="preserve"> </w:t>
      </w:r>
      <w:proofErr w:type="spellStart"/>
      <w:r w:rsidRPr="001D2EEE">
        <w:rPr>
          <w:rFonts w:ascii="Times New Roman" w:hAnsi="Times New Roman" w:cs="Times New Roman"/>
          <w:bCs/>
          <w:i/>
          <w:sz w:val="24"/>
          <w:szCs w:val="24"/>
        </w:rPr>
        <w:t>against</w:t>
      </w:r>
      <w:proofErr w:type="spellEnd"/>
      <w:r w:rsidRPr="001D2EEE">
        <w:rPr>
          <w:rFonts w:ascii="Times New Roman" w:hAnsi="Times New Roman" w:cs="Times New Roman"/>
          <w:bCs/>
          <w:i/>
          <w:sz w:val="24"/>
          <w:szCs w:val="24"/>
        </w:rPr>
        <w:t xml:space="preserve"> </w:t>
      </w:r>
      <w:proofErr w:type="spellStart"/>
      <w:r w:rsidRPr="001D2EEE">
        <w:rPr>
          <w:rFonts w:ascii="Times New Roman" w:hAnsi="Times New Roman" w:cs="Times New Roman"/>
          <w:bCs/>
          <w:i/>
          <w:sz w:val="24"/>
          <w:szCs w:val="24"/>
        </w:rPr>
        <w:t>the</w:t>
      </w:r>
      <w:proofErr w:type="spellEnd"/>
      <w:r w:rsidRPr="001D2EEE">
        <w:rPr>
          <w:rFonts w:ascii="Times New Roman" w:hAnsi="Times New Roman" w:cs="Times New Roman"/>
          <w:bCs/>
          <w:i/>
          <w:sz w:val="24"/>
          <w:szCs w:val="24"/>
        </w:rPr>
        <w:t xml:space="preserve"> </w:t>
      </w:r>
      <w:proofErr w:type="spellStart"/>
      <w:r w:rsidRPr="001D2EEE">
        <w:rPr>
          <w:rFonts w:ascii="Times New Roman" w:hAnsi="Times New Roman" w:cs="Times New Roman"/>
          <w:bCs/>
          <w:i/>
          <w:sz w:val="24"/>
          <w:szCs w:val="24"/>
        </w:rPr>
        <w:t>law</w:t>
      </w:r>
      <w:proofErr w:type="spellEnd"/>
      <w:r w:rsidRPr="001D2EEE">
        <w:rPr>
          <w:rFonts w:ascii="Times New Roman" w:hAnsi="Times New Roman" w:cs="Times New Roman"/>
          <w:bCs/>
          <w:i/>
          <w:sz w:val="24"/>
          <w:szCs w:val="24"/>
        </w:rPr>
        <w:t>.</w:t>
      </w:r>
      <w:r w:rsidRPr="007E7617">
        <w:rPr>
          <w:rFonts w:ascii="Times New Roman" w:eastAsia="Times New Roman" w:hAnsi="Times New Roman" w:cs="Times New Roman"/>
          <w:i/>
          <w:sz w:val="24"/>
          <w:szCs w:val="24"/>
          <w:lang w:eastAsia="bg-BG"/>
        </w:rPr>
        <w:t xml:space="preserve"> </w:t>
      </w:r>
    </w:p>
    <w:p w:rsidR="006E300F" w:rsidRPr="007E7617" w:rsidRDefault="006E300F" w:rsidP="006E300F">
      <w:pPr>
        <w:tabs>
          <w:tab w:val="left" w:pos="993"/>
        </w:tabs>
        <w:spacing w:after="0" w:line="360" w:lineRule="auto"/>
        <w:ind w:firstLine="589"/>
        <w:jc w:val="both"/>
        <w:rPr>
          <w:rFonts w:ascii="Times New Roman" w:hAnsi="Times New Roman" w:cs="Times New Roman"/>
          <w:bCs/>
          <w:i/>
          <w:sz w:val="24"/>
          <w:szCs w:val="24"/>
        </w:rPr>
      </w:pPr>
      <w:r w:rsidRPr="006E300F">
        <w:rPr>
          <w:rFonts w:ascii="Times New Roman" w:hAnsi="Times New Roman" w:cs="Times New Roman"/>
          <w:b/>
          <w:bCs/>
          <w:sz w:val="24"/>
          <w:szCs w:val="24"/>
          <w:lang w:val="en-US"/>
        </w:rPr>
        <w:t>Key words:</w:t>
      </w:r>
      <w:r>
        <w:rPr>
          <w:rFonts w:ascii="Times New Roman" w:hAnsi="Times New Roman" w:cs="Times New Roman"/>
          <w:bCs/>
          <w:i/>
          <w:sz w:val="24"/>
          <w:szCs w:val="24"/>
          <w:lang w:val="en-US"/>
        </w:rPr>
        <w:t xml:space="preserve"> </w:t>
      </w:r>
      <w:proofErr w:type="spellStart"/>
      <w:r w:rsidRPr="007E7617">
        <w:rPr>
          <w:rFonts w:ascii="Times New Roman" w:hAnsi="Times New Roman" w:cs="Times New Roman"/>
          <w:bCs/>
          <w:i/>
          <w:sz w:val="24"/>
          <w:szCs w:val="24"/>
        </w:rPr>
        <w:t>Right</w:t>
      </w:r>
      <w:proofErr w:type="spellEnd"/>
      <w:r w:rsidRPr="007E7617">
        <w:rPr>
          <w:rFonts w:ascii="Times New Roman" w:hAnsi="Times New Roman" w:cs="Times New Roman"/>
          <w:bCs/>
          <w:i/>
          <w:sz w:val="24"/>
          <w:szCs w:val="24"/>
        </w:rPr>
        <w:t xml:space="preserve"> </w:t>
      </w:r>
      <w:proofErr w:type="spellStart"/>
      <w:r w:rsidRPr="007E7617">
        <w:rPr>
          <w:rFonts w:ascii="Times New Roman" w:hAnsi="Times New Roman" w:cs="Times New Roman"/>
          <w:bCs/>
          <w:i/>
          <w:sz w:val="24"/>
          <w:szCs w:val="24"/>
        </w:rPr>
        <w:t>to</w:t>
      </w:r>
      <w:proofErr w:type="spellEnd"/>
      <w:r w:rsidRPr="007E7617">
        <w:rPr>
          <w:rFonts w:ascii="Times New Roman" w:hAnsi="Times New Roman" w:cs="Times New Roman"/>
          <w:bCs/>
          <w:i/>
          <w:sz w:val="24"/>
          <w:szCs w:val="24"/>
        </w:rPr>
        <w:t xml:space="preserve"> </w:t>
      </w:r>
      <w:proofErr w:type="spellStart"/>
      <w:r w:rsidRPr="007E7617">
        <w:rPr>
          <w:rFonts w:ascii="Times New Roman" w:hAnsi="Times New Roman" w:cs="Times New Roman"/>
          <w:bCs/>
          <w:i/>
          <w:sz w:val="24"/>
          <w:szCs w:val="24"/>
        </w:rPr>
        <w:t>non-discrimination</w:t>
      </w:r>
      <w:proofErr w:type="spellEnd"/>
      <w:r w:rsidRPr="007E7617">
        <w:rPr>
          <w:rFonts w:ascii="Times New Roman" w:hAnsi="Times New Roman" w:cs="Times New Roman"/>
          <w:bCs/>
          <w:i/>
          <w:sz w:val="24"/>
          <w:szCs w:val="24"/>
        </w:rPr>
        <w:t xml:space="preserve">, </w:t>
      </w:r>
      <w:proofErr w:type="spellStart"/>
      <w:r w:rsidRPr="007E7617">
        <w:rPr>
          <w:rFonts w:ascii="Times New Roman" w:hAnsi="Times New Roman" w:cs="Times New Roman"/>
          <w:bCs/>
          <w:i/>
          <w:sz w:val="24"/>
          <w:szCs w:val="24"/>
        </w:rPr>
        <w:t>protection</w:t>
      </w:r>
      <w:proofErr w:type="spellEnd"/>
      <w:r w:rsidRPr="007E7617">
        <w:rPr>
          <w:rFonts w:ascii="Times New Roman" w:hAnsi="Times New Roman" w:cs="Times New Roman"/>
          <w:bCs/>
          <w:i/>
          <w:sz w:val="24"/>
          <w:szCs w:val="24"/>
        </w:rPr>
        <w:t xml:space="preserve"> </w:t>
      </w:r>
      <w:proofErr w:type="spellStart"/>
      <w:r w:rsidRPr="007E7617">
        <w:rPr>
          <w:rFonts w:ascii="Times New Roman" w:hAnsi="Times New Roman" w:cs="Times New Roman"/>
          <w:bCs/>
          <w:i/>
          <w:sz w:val="24"/>
          <w:szCs w:val="24"/>
        </w:rPr>
        <w:t>against</w:t>
      </w:r>
      <w:proofErr w:type="spellEnd"/>
      <w:r w:rsidRPr="007E7617">
        <w:rPr>
          <w:rFonts w:ascii="Times New Roman" w:hAnsi="Times New Roman" w:cs="Times New Roman"/>
          <w:bCs/>
          <w:i/>
          <w:sz w:val="24"/>
          <w:szCs w:val="24"/>
        </w:rPr>
        <w:t xml:space="preserve"> </w:t>
      </w:r>
      <w:proofErr w:type="spellStart"/>
      <w:r w:rsidRPr="007E7617">
        <w:rPr>
          <w:rFonts w:ascii="Times New Roman" w:hAnsi="Times New Roman" w:cs="Times New Roman"/>
          <w:bCs/>
          <w:i/>
          <w:sz w:val="24"/>
          <w:szCs w:val="24"/>
        </w:rPr>
        <w:t>discrimination</w:t>
      </w:r>
      <w:proofErr w:type="spellEnd"/>
      <w:r w:rsidRPr="007E7617">
        <w:rPr>
          <w:rFonts w:ascii="Times New Roman" w:hAnsi="Times New Roman" w:cs="Times New Roman"/>
          <w:bCs/>
          <w:i/>
          <w:sz w:val="24"/>
          <w:szCs w:val="24"/>
        </w:rPr>
        <w:t>,</w:t>
      </w:r>
      <w:r>
        <w:rPr>
          <w:rFonts w:ascii="Times New Roman" w:hAnsi="Times New Roman" w:cs="Times New Roman"/>
          <w:bCs/>
          <w:i/>
          <w:sz w:val="24"/>
          <w:szCs w:val="24"/>
        </w:rPr>
        <w:t xml:space="preserve"> </w:t>
      </w:r>
      <w:r>
        <w:rPr>
          <w:rFonts w:ascii="Times New Roman" w:hAnsi="Times New Roman" w:cs="Times New Roman"/>
          <w:bCs/>
          <w:i/>
          <w:sz w:val="24"/>
          <w:szCs w:val="24"/>
          <w:lang w:val="en-US"/>
        </w:rPr>
        <w:t>c</w:t>
      </w:r>
      <w:proofErr w:type="spellStart"/>
      <w:r w:rsidRPr="00364910">
        <w:rPr>
          <w:rFonts w:ascii="Times New Roman" w:hAnsi="Times New Roman" w:cs="Times New Roman"/>
          <w:bCs/>
          <w:i/>
          <w:sz w:val="24"/>
          <w:szCs w:val="24"/>
        </w:rPr>
        <w:t>onstitutional</w:t>
      </w:r>
      <w:proofErr w:type="spellEnd"/>
      <w:r w:rsidRPr="00364910">
        <w:rPr>
          <w:rFonts w:ascii="Times New Roman" w:hAnsi="Times New Roman" w:cs="Times New Roman"/>
          <w:bCs/>
          <w:i/>
          <w:sz w:val="24"/>
          <w:szCs w:val="24"/>
        </w:rPr>
        <w:t xml:space="preserve"> </w:t>
      </w:r>
      <w:proofErr w:type="spellStart"/>
      <w:r w:rsidRPr="00364910">
        <w:rPr>
          <w:rFonts w:ascii="Times New Roman" w:hAnsi="Times New Roman" w:cs="Times New Roman"/>
          <w:bCs/>
          <w:i/>
          <w:sz w:val="24"/>
          <w:szCs w:val="24"/>
        </w:rPr>
        <w:t>process</w:t>
      </w:r>
      <w:proofErr w:type="spellEnd"/>
    </w:p>
    <w:p w:rsidR="007E7617" w:rsidRDefault="007E7617" w:rsidP="006E300F">
      <w:pPr>
        <w:spacing w:after="0" w:line="360" w:lineRule="auto"/>
        <w:ind w:firstLine="709"/>
        <w:jc w:val="both"/>
        <w:rPr>
          <w:rFonts w:ascii="Times New Roman" w:eastAsia="Times New Roman" w:hAnsi="Times New Roman" w:cs="Times New Roman"/>
          <w:i/>
          <w:sz w:val="24"/>
          <w:szCs w:val="24"/>
          <w:lang w:eastAsia="bg-BG"/>
        </w:rPr>
      </w:pPr>
    </w:p>
    <w:p w:rsidR="006E300F" w:rsidRPr="007E7617" w:rsidRDefault="006E300F" w:rsidP="006E300F">
      <w:pPr>
        <w:spacing w:after="0" w:line="360" w:lineRule="auto"/>
        <w:ind w:firstLine="709"/>
        <w:jc w:val="both"/>
        <w:rPr>
          <w:rFonts w:ascii="Times New Roman" w:eastAsia="Times New Roman" w:hAnsi="Times New Roman" w:cs="Times New Roman"/>
          <w:i/>
          <w:sz w:val="24"/>
          <w:szCs w:val="24"/>
          <w:lang w:eastAsia="bg-BG"/>
        </w:rPr>
      </w:pPr>
    </w:p>
    <w:p w:rsidR="007E7617" w:rsidRPr="006E300F" w:rsidRDefault="006E300F" w:rsidP="006E300F">
      <w:pPr>
        <w:spacing w:after="0" w:line="360" w:lineRule="auto"/>
        <w:ind w:firstLine="589"/>
        <w:jc w:val="both"/>
        <w:rPr>
          <w:rFonts w:ascii="Times New Roman" w:eastAsia="Times New Roman" w:hAnsi="Times New Roman" w:cs="Times New Roman"/>
          <w:sz w:val="24"/>
          <w:szCs w:val="24"/>
          <w:lang w:eastAsia="bg-BG"/>
        </w:rPr>
      </w:pPr>
      <w:r w:rsidRPr="006E300F">
        <w:rPr>
          <w:rFonts w:ascii="Times New Roman" w:eastAsia="Times New Roman" w:hAnsi="Times New Roman" w:cs="Times New Roman"/>
          <w:b/>
          <w:sz w:val="24"/>
          <w:szCs w:val="24"/>
          <w:lang w:eastAsia="bg-BG"/>
        </w:rPr>
        <w:t>1.</w:t>
      </w:r>
      <w:r>
        <w:rPr>
          <w:rFonts w:ascii="Times New Roman" w:eastAsia="Times New Roman" w:hAnsi="Times New Roman" w:cs="Times New Roman"/>
          <w:sz w:val="24"/>
          <w:szCs w:val="24"/>
          <w:lang w:eastAsia="bg-BG"/>
        </w:rPr>
        <w:t xml:space="preserve"> </w:t>
      </w:r>
      <w:r w:rsidR="007E7617" w:rsidRPr="006E300F">
        <w:rPr>
          <w:rFonts w:ascii="Times New Roman" w:eastAsia="Times New Roman" w:hAnsi="Times New Roman" w:cs="Times New Roman"/>
          <w:sz w:val="24"/>
          <w:szCs w:val="24"/>
          <w:lang w:eastAsia="bg-BG"/>
        </w:rPr>
        <w:t>Гл. VІІІ от КРБ установява общата функционална и институционална характеристика на Конституционният съд на Република България - съдът натоварен да брани Конституцията. И като пази Конституцията, съдът гарантира отразените в нея основни права и така легитимира себе си като институция.</w:t>
      </w:r>
      <w:r w:rsidR="007E7617" w:rsidRPr="00364910">
        <w:rPr>
          <w:vertAlign w:val="superscript"/>
          <w:lang w:eastAsia="bg-BG"/>
        </w:rPr>
        <w:footnoteReference w:id="2"/>
      </w:r>
    </w:p>
    <w:p w:rsidR="00CF0C83" w:rsidRPr="007E7617" w:rsidRDefault="00CF0C83" w:rsidP="006E300F">
      <w:pPr>
        <w:spacing w:after="0" w:line="360" w:lineRule="auto"/>
        <w:ind w:firstLine="709"/>
        <w:jc w:val="both"/>
        <w:rPr>
          <w:rFonts w:ascii="Times New Roman" w:eastAsia="Times New Roman" w:hAnsi="Times New Roman" w:cs="Times New Roman"/>
          <w:sz w:val="24"/>
          <w:szCs w:val="24"/>
          <w:lang w:eastAsia="bg-BG"/>
        </w:rPr>
      </w:pPr>
      <w:r w:rsidRPr="00364910">
        <w:rPr>
          <w:rFonts w:ascii="Times New Roman" w:eastAsia="Times New Roman" w:hAnsi="Times New Roman" w:cs="Times New Roman"/>
          <w:sz w:val="24"/>
          <w:szCs w:val="24"/>
          <w:lang w:eastAsia="bg-BG"/>
        </w:rPr>
        <w:lastRenderedPageBreak/>
        <w:t>Н</w:t>
      </w:r>
      <w:r w:rsidR="007E7617" w:rsidRPr="007E7617">
        <w:rPr>
          <w:rFonts w:ascii="Times New Roman" w:eastAsia="Times New Roman" w:hAnsi="Times New Roman" w:cs="Times New Roman"/>
          <w:sz w:val="24"/>
          <w:szCs w:val="24"/>
          <w:lang w:eastAsia="bg-BG"/>
        </w:rPr>
        <w:t>ай-</w:t>
      </w:r>
      <w:r w:rsidRPr="00364910">
        <w:rPr>
          <w:rFonts w:ascii="Times New Roman" w:eastAsia="Times New Roman" w:hAnsi="Times New Roman" w:cs="Times New Roman"/>
          <w:sz w:val="24"/>
          <w:szCs w:val="24"/>
          <w:lang w:eastAsia="bg-BG"/>
        </w:rPr>
        <w:t>ефективното</w:t>
      </w:r>
      <w:r w:rsidR="007E7617" w:rsidRPr="007E7617">
        <w:rPr>
          <w:rFonts w:ascii="Times New Roman" w:eastAsia="Times New Roman" w:hAnsi="Times New Roman" w:cs="Times New Roman"/>
          <w:sz w:val="24"/>
          <w:szCs w:val="24"/>
          <w:lang w:eastAsia="bg-BG"/>
        </w:rPr>
        <w:t xml:space="preserve"> средство за закрила на основните права е тяхното реализиране</w:t>
      </w:r>
      <w:r w:rsidR="001D2EEE">
        <w:rPr>
          <w:rFonts w:ascii="Times New Roman" w:eastAsia="Times New Roman" w:hAnsi="Times New Roman" w:cs="Times New Roman"/>
          <w:sz w:val="24"/>
          <w:szCs w:val="24"/>
          <w:lang w:eastAsia="bg-BG"/>
        </w:rPr>
        <w:t>.</w:t>
      </w:r>
      <w:r w:rsidR="007E7617" w:rsidRPr="007E7617">
        <w:rPr>
          <w:rFonts w:ascii="Times New Roman" w:eastAsia="Times New Roman" w:hAnsi="Times New Roman" w:cs="Times New Roman"/>
          <w:sz w:val="24"/>
          <w:szCs w:val="24"/>
          <w:lang w:eastAsia="bg-BG"/>
        </w:rPr>
        <w:t xml:space="preserve"> </w:t>
      </w:r>
      <w:r w:rsidR="001D2EEE">
        <w:rPr>
          <w:rFonts w:ascii="Times New Roman" w:eastAsia="Times New Roman" w:hAnsi="Times New Roman" w:cs="Times New Roman"/>
          <w:sz w:val="24"/>
          <w:szCs w:val="24"/>
          <w:lang w:eastAsia="bg-BG"/>
        </w:rPr>
        <w:t>О</w:t>
      </w:r>
      <w:r w:rsidR="007E7617" w:rsidRPr="007E7617">
        <w:rPr>
          <w:rFonts w:ascii="Times New Roman" w:eastAsia="Times New Roman" w:hAnsi="Times New Roman" w:cs="Times New Roman"/>
          <w:sz w:val="24"/>
          <w:szCs w:val="24"/>
          <w:lang w:eastAsia="bg-BG"/>
        </w:rPr>
        <w:t xml:space="preserve">сновното за защитата срещу дискриминация е прилагането на </w:t>
      </w:r>
      <w:r w:rsidR="007E7617" w:rsidRPr="001D2EEE">
        <w:rPr>
          <w:rFonts w:ascii="Times New Roman" w:eastAsia="Times New Roman" w:hAnsi="Times New Roman" w:cs="Times New Roman"/>
          <w:i/>
          <w:sz w:val="24"/>
          <w:szCs w:val="24"/>
          <w:lang w:eastAsia="bg-BG"/>
        </w:rPr>
        <w:t xml:space="preserve">правото на </w:t>
      </w:r>
      <w:proofErr w:type="spellStart"/>
      <w:r w:rsidR="007E7617" w:rsidRPr="001D2EEE">
        <w:rPr>
          <w:rFonts w:ascii="Times New Roman" w:eastAsia="Times New Roman" w:hAnsi="Times New Roman" w:cs="Times New Roman"/>
          <w:i/>
          <w:sz w:val="24"/>
          <w:szCs w:val="24"/>
          <w:lang w:eastAsia="bg-BG"/>
        </w:rPr>
        <w:t>недискриминация</w:t>
      </w:r>
      <w:proofErr w:type="spellEnd"/>
      <w:r w:rsidR="007E7617" w:rsidRPr="007E7617">
        <w:rPr>
          <w:rFonts w:ascii="Times New Roman" w:eastAsia="Times New Roman" w:hAnsi="Times New Roman" w:cs="Times New Roman"/>
          <w:sz w:val="24"/>
          <w:szCs w:val="24"/>
          <w:lang w:eastAsia="bg-BG"/>
        </w:rPr>
        <w:t xml:space="preserve">, което включва съблюдаване на равенството като принцип и като конституционно право. </w:t>
      </w:r>
      <w:r w:rsidRPr="00364910">
        <w:rPr>
          <w:rFonts w:ascii="Times New Roman" w:eastAsia="Times New Roman" w:hAnsi="Times New Roman" w:cs="Times New Roman"/>
          <w:sz w:val="24"/>
          <w:szCs w:val="24"/>
          <w:lang w:eastAsia="bg-BG"/>
        </w:rPr>
        <w:t xml:space="preserve">Двете „ядра“ на правото на </w:t>
      </w:r>
      <w:proofErr w:type="spellStart"/>
      <w:r w:rsidRPr="00364910">
        <w:rPr>
          <w:rFonts w:ascii="Times New Roman" w:eastAsia="Times New Roman" w:hAnsi="Times New Roman" w:cs="Times New Roman"/>
          <w:sz w:val="24"/>
          <w:szCs w:val="24"/>
          <w:lang w:eastAsia="bg-BG"/>
        </w:rPr>
        <w:t>недискриминация</w:t>
      </w:r>
      <w:proofErr w:type="spellEnd"/>
      <w:r w:rsidRPr="00364910">
        <w:rPr>
          <w:rFonts w:ascii="Times New Roman" w:eastAsia="Times New Roman" w:hAnsi="Times New Roman" w:cs="Times New Roman"/>
          <w:sz w:val="24"/>
          <w:szCs w:val="24"/>
          <w:lang w:eastAsia="bg-BG"/>
        </w:rPr>
        <w:t xml:space="preserve"> като конституционно право са необходимостта от третиран</w:t>
      </w:r>
      <w:r w:rsidR="001D2EEE">
        <w:rPr>
          <w:rFonts w:ascii="Times New Roman" w:eastAsia="Times New Roman" w:hAnsi="Times New Roman" w:cs="Times New Roman"/>
          <w:sz w:val="24"/>
          <w:szCs w:val="24"/>
          <w:lang w:eastAsia="bg-BG"/>
        </w:rPr>
        <w:t>е като равни</w:t>
      </w:r>
      <w:r w:rsidRPr="00364910">
        <w:rPr>
          <w:rFonts w:ascii="Times New Roman" w:eastAsia="Times New Roman" w:hAnsi="Times New Roman" w:cs="Times New Roman"/>
          <w:sz w:val="24"/>
          <w:szCs w:val="24"/>
          <w:lang w:eastAsia="bg-BG"/>
        </w:rPr>
        <w:t xml:space="preserve"> и защитата срещу дискриминация. Забраната за неравно третиране, позитивните мерки, забраната за произвол </w:t>
      </w:r>
      <w:proofErr w:type="spellStart"/>
      <w:r w:rsidRPr="00364910">
        <w:rPr>
          <w:rFonts w:ascii="Times New Roman" w:eastAsia="Times New Roman" w:hAnsi="Times New Roman" w:cs="Times New Roman"/>
          <w:sz w:val="24"/>
          <w:szCs w:val="24"/>
          <w:lang w:eastAsia="bg-BG"/>
        </w:rPr>
        <w:t>конотират</w:t>
      </w:r>
      <w:proofErr w:type="spellEnd"/>
      <w:r w:rsidRPr="00364910">
        <w:rPr>
          <w:rFonts w:ascii="Times New Roman" w:eastAsia="Times New Roman" w:hAnsi="Times New Roman" w:cs="Times New Roman"/>
          <w:sz w:val="24"/>
          <w:szCs w:val="24"/>
          <w:lang w:eastAsia="bg-BG"/>
        </w:rPr>
        <w:t xml:space="preserve"> около тези две функции на </w:t>
      </w:r>
      <w:proofErr w:type="spellStart"/>
      <w:r w:rsidRPr="00364910">
        <w:rPr>
          <w:rFonts w:ascii="Times New Roman" w:eastAsia="Times New Roman" w:hAnsi="Times New Roman" w:cs="Times New Roman"/>
          <w:sz w:val="24"/>
          <w:szCs w:val="24"/>
          <w:lang w:eastAsia="bg-BG"/>
        </w:rPr>
        <w:t>недискриминацията</w:t>
      </w:r>
      <w:proofErr w:type="spellEnd"/>
      <w:r w:rsidRPr="00364910">
        <w:rPr>
          <w:rFonts w:ascii="Times New Roman" w:eastAsia="Times New Roman" w:hAnsi="Times New Roman" w:cs="Times New Roman"/>
          <w:sz w:val="24"/>
          <w:szCs w:val="24"/>
          <w:lang w:eastAsia="bg-BG"/>
        </w:rPr>
        <w:t>.</w:t>
      </w:r>
    </w:p>
    <w:p w:rsidR="006E300F" w:rsidRDefault="007E7617" w:rsidP="006E300F">
      <w:pPr>
        <w:spacing w:after="0" w:line="360" w:lineRule="auto"/>
        <w:ind w:firstLine="709"/>
        <w:jc w:val="both"/>
        <w:rPr>
          <w:rFonts w:ascii="Times New Roman" w:eastAsia="Times New Roman" w:hAnsi="Times New Roman" w:cs="Times New Roman"/>
          <w:sz w:val="24"/>
          <w:szCs w:val="24"/>
          <w:lang w:eastAsia="bg-BG"/>
        </w:rPr>
      </w:pPr>
      <w:r w:rsidRPr="007E7617">
        <w:rPr>
          <w:rFonts w:ascii="Times New Roman" w:eastAsia="Times New Roman" w:hAnsi="Times New Roman" w:cs="Times New Roman"/>
          <w:sz w:val="24"/>
          <w:szCs w:val="24"/>
          <w:lang w:eastAsia="bg-BG"/>
        </w:rPr>
        <w:t xml:space="preserve">Повереното правомощие на КС да се произнася по искания за противоконституционност на закони и други актове по чл. 149, ал.1, т.2 от КРБ  държи сметка именно на преодоляване на </w:t>
      </w:r>
      <w:proofErr w:type="spellStart"/>
      <w:r w:rsidRPr="007E7617">
        <w:rPr>
          <w:rFonts w:ascii="Times New Roman" w:eastAsia="Times New Roman" w:hAnsi="Times New Roman" w:cs="Times New Roman"/>
          <w:sz w:val="24"/>
          <w:szCs w:val="24"/>
          <w:lang w:eastAsia="bg-BG"/>
        </w:rPr>
        <w:t>абсолютността</w:t>
      </w:r>
      <w:proofErr w:type="spellEnd"/>
      <w:r w:rsidRPr="007E7617">
        <w:rPr>
          <w:rFonts w:ascii="Times New Roman" w:eastAsia="Times New Roman" w:hAnsi="Times New Roman" w:cs="Times New Roman"/>
          <w:sz w:val="24"/>
          <w:szCs w:val="24"/>
          <w:lang w:eastAsia="bg-BG"/>
        </w:rPr>
        <w:t xml:space="preserve"> на закона и необходимостта от подчинението му на правото. В този смисъл по съдържание, чрез него се защитават основните права на индивидите, такива каквито са в КРБ и такива каквито ги вижда </w:t>
      </w:r>
      <w:r w:rsidR="00CF0C83" w:rsidRPr="00364910">
        <w:rPr>
          <w:rFonts w:ascii="Times New Roman" w:eastAsia="Times New Roman" w:hAnsi="Times New Roman" w:cs="Times New Roman"/>
          <w:sz w:val="24"/>
          <w:szCs w:val="24"/>
          <w:lang w:eastAsia="bg-BG"/>
        </w:rPr>
        <w:t>С</w:t>
      </w:r>
      <w:r w:rsidRPr="007E7617">
        <w:rPr>
          <w:rFonts w:ascii="Times New Roman" w:eastAsia="Times New Roman" w:hAnsi="Times New Roman" w:cs="Times New Roman"/>
          <w:sz w:val="24"/>
          <w:szCs w:val="24"/>
          <w:lang w:eastAsia="bg-BG"/>
        </w:rPr>
        <w:t xml:space="preserve">ъдът. Материалният компонент за забраната за дискриминация присъства като граница на допустимо ограничение на което и да е конституционно право. Обективната действителност изисква от законодателя да </w:t>
      </w:r>
      <w:r w:rsidRPr="007E7617">
        <w:rPr>
          <w:rFonts w:ascii="Times New Roman" w:eastAsia="Calibri" w:hAnsi="Times New Roman" w:cs="Times New Roman"/>
          <w:sz w:val="24"/>
          <w:szCs w:val="24"/>
          <w:lang w:eastAsia="bg-BG"/>
        </w:rPr>
        <w:t>въвежда определен</w:t>
      </w:r>
      <w:r w:rsidRPr="007E7617">
        <w:rPr>
          <w:rFonts w:ascii="Times New Roman" w:eastAsia="Times New Roman" w:hAnsi="Times New Roman" w:cs="Times New Roman"/>
          <w:sz w:val="24"/>
          <w:szCs w:val="24"/>
          <w:lang w:eastAsia="bg-BG"/>
        </w:rPr>
        <w:t>и</w:t>
      </w:r>
      <w:r w:rsidRPr="007E7617">
        <w:rPr>
          <w:rFonts w:ascii="Times New Roman" w:eastAsia="Calibri" w:hAnsi="Times New Roman" w:cs="Times New Roman"/>
          <w:sz w:val="24"/>
          <w:szCs w:val="24"/>
          <w:lang w:eastAsia="bg-BG"/>
        </w:rPr>
        <w:t xml:space="preserve"> форм</w:t>
      </w:r>
      <w:r w:rsidRPr="007E7617">
        <w:rPr>
          <w:rFonts w:ascii="Times New Roman" w:eastAsia="Times New Roman" w:hAnsi="Times New Roman" w:cs="Times New Roman"/>
          <w:sz w:val="24"/>
          <w:szCs w:val="24"/>
          <w:lang w:eastAsia="bg-BG"/>
        </w:rPr>
        <w:t>и</w:t>
      </w:r>
      <w:r w:rsidRPr="007E7617">
        <w:rPr>
          <w:rFonts w:ascii="Times New Roman" w:eastAsia="Calibri" w:hAnsi="Times New Roman" w:cs="Times New Roman"/>
          <w:sz w:val="24"/>
          <w:szCs w:val="24"/>
          <w:lang w:eastAsia="bg-BG"/>
        </w:rPr>
        <w:t xml:space="preserve"> на неравно третиране</w:t>
      </w:r>
      <w:r w:rsidRPr="007E7617">
        <w:rPr>
          <w:rFonts w:ascii="Times New Roman" w:eastAsia="Times New Roman" w:hAnsi="Times New Roman" w:cs="Times New Roman"/>
          <w:sz w:val="24"/>
          <w:szCs w:val="24"/>
          <w:lang w:eastAsia="bg-BG"/>
        </w:rPr>
        <w:t xml:space="preserve"> чрез правни норми</w:t>
      </w:r>
      <w:r w:rsidRPr="007E7617">
        <w:rPr>
          <w:rFonts w:ascii="Times New Roman" w:eastAsia="Times New Roman" w:hAnsi="Times New Roman" w:cs="Times New Roman"/>
          <w:sz w:val="24"/>
          <w:szCs w:val="24"/>
          <w:vertAlign w:val="superscript"/>
          <w:lang w:eastAsia="bg-BG"/>
        </w:rPr>
        <w:footnoteReference w:id="3"/>
      </w:r>
      <w:r w:rsidRPr="007E7617">
        <w:rPr>
          <w:rFonts w:ascii="Times New Roman" w:eastAsia="Times New Roman" w:hAnsi="Times New Roman" w:cs="Times New Roman"/>
          <w:sz w:val="24"/>
          <w:szCs w:val="24"/>
          <w:lang w:eastAsia="bg-BG"/>
        </w:rPr>
        <w:t xml:space="preserve">. В редица случаи то е именно с цел да бъде предотвратена дискриминация, като бъде гарантирано равенство във възможностите. Възможно е обаче </w:t>
      </w:r>
      <w:r w:rsidRPr="007E7617">
        <w:rPr>
          <w:rFonts w:ascii="Times New Roman" w:eastAsia="Calibri" w:hAnsi="Times New Roman" w:cs="Times New Roman"/>
          <w:sz w:val="24"/>
          <w:szCs w:val="24"/>
          <w:lang w:eastAsia="bg-BG"/>
        </w:rPr>
        <w:t xml:space="preserve">действаща законова правна норма, която въвежда определена форма на неравно третиране или привидно неутрална норма </w:t>
      </w:r>
      <w:r w:rsidRPr="007E7617">
        <w:rPr>
          <w:rFonts w:ascii="Times New Roman" w:eastAsia="Times New Roman" w:hAnsi="Times New Roman" w:cs="Times New Roman"/>
          <w:sz w:val="24"/>
          <w:szCs w:val="24"/>
          <w:lang w:eastAsia="bg-BG"/>
        </w:rPr>
        <w:t xml:space="preserve">да представляват </w:t>
      </w:r>
      <w:r w:rsidRPr="007E7617">
        <w:rPr>
          <w:rFonts w:ascii="Times New Roman" w:eastAsia="Calibri" w:hAnsi="Times New Roman" w:cs="Times New Roman"/>
          <w:sz w:val="24"/>
          <w:szCs w:val="24"/>
          <w:lang w:eastAsia="bg-BG"/>
        </w:rPr>
        <w:t>дискриминация по някой от защитните признаци, установени в КРБ</w:t>
      </w:r>
      <w:r w:rsidR="001D2EEE">
        <w:rPr>
          <w:rFonts w:ascii="Times New Roman" w:eastAsia="Calibri" w:hAnsi="Times New Roman" w:cs="Times New Roman"/>
          <w:sz w:val="24"/>
          <w:szCs w:val="24"/>
          <w:lang w:eastAsia="bg-BG"/>
        </w:rPr>
        <w:t xml:space="preserve">, </w:t>
      </w:r>
      <w:r w:rsidRPr="007E7617">
        <w:rPr>
          <w:rFonts w:ascii="Times New Roman" w:eastAsia="Calibri" w:hAnsi="Times New Roman" w:cs="Times New Roman"/>
          <w:sz w:val="24"/>
          <w:szCs w:val="24"/>
          <w:lang w:eastAsia="bg-BG"/>
        </w:rPr>
        <w:t>да накърняват правото на равенство в третирането и във възможностите за участие в обществения живот</w:t>
      </w:r>
      <w:r w:rsidRPr="007E7617">
        <w:rPr>
          <w:rFonts w:ascii="Times New Roman" w:eastAsia="Times New Roman" w:hAnsi="Times New Roman" w:cs="Times New Roman"/>
          <w:sz w:val="24"/>
          <w:szCs w:val="24"/>
          <w:lang w:eastAsia="bg-BG"/>
        </w:rPr>
        <w:t xml:space="preserve">, като по този начин изначално да нарушават чл. </w:t>
      </w:r>
      <w:r w:rsidRPr="007E7617">
        <w:rPr>
          <w:rFonts w:ascii="Times New Roman" w:eastAsia="Calibri" w:hAnsi="Times New Roman" w:cs="Times New Roman"/>
          <w:sz w:val="24"/>
          <w:szCs w:val="24"/>
          <w:lang w:eastAsia="bg-BG"/>
        </w:rPr>
        <w:t>6 от КРБ</w:t>
      </w:r>
      <w:r w:rsidRPr="007E7617">
        <w:rPr>
          <w:rFonts w:ascii="Times New Roman" w:eastAsia="Times New Roman" w:hAnsi="Times New Roman" w:cs="Times New Roman"/>
          <w:sz w:val="24"/>
          <w:szCs w:val="24"/>
          <w:vertAlign w:val="superscript"/>
          <w:lang w:eastAsia="bg-BG"/>
        </w:rPr>
        <w:footnoteReference w:id="4"/>
      </w:r>
      <w:r w:rsidRPr="007E7617">
        <w:rPr>
          <w:rFonts w:ascii="Times New Roman" w:eastAsia="Times New Roman" w:hAnsi="Times New Roman" w:cs="Times New Roman"/>
          <w:sz w:val="24"/>
          <w:szCs w:val="24"/>
          <w:lang w:eastAsia="bg-BG"/>
        </w:rPr>
        <w:t xml:space="preserve">  От тук и предмет на конституционен контрол за </w:t>
      </w:r>
      <w:proofErr w:type="spellStart"/>
      <w:r w:rsidRPr="007E7617">
        <w:rPr>
          <w:rFonts w:ascii="Times New Roman" w:eastAsia="Times New Roman" w:hAnsi="Times New Roman" w:cs="Times New Roman"/>
          <w:sz w:val="24"/>
          <w:szCs w:val="24"/>
          <w:lang w:eastAsia="bg-BG"/>
        </w:rPr>
        <w:t>дискриминационност</w:t>
      </w:r>
      <w:proofErr w:type="spellEnd"/>
      <w:r w:rsidRPr="007E7617">
        <w:rPr>
          <w:rFonts w:ascii="Times New Roman" w:eastAsia="Times New Roman" w:hAnsi="Times New Roman" w:cs="Times New Roman"/>
          <w:sz w:val="24"/>
          <w:szCs w:val="24"/>
          <w:lang w:eastAsia="bg-BG"/>
        </w:rPr>
        <w:t xml:space="preserve"> може да бъдат явни разлики, установения в самия закон; неравно третиране чрез разпоредбите на закона; привидно неутрално третиране, водещо до дискриминационен резултат; законови празноти, които поставят в неблагоприятно положение определени лица; законови неясноти в нарушение на принципа на равно третиране; произволно третиране чрез законови уредба и т.н. Контролът за конституционност може да е и върху разпоредбите на закон, с който е поверена компетентност на даден орган </w:t>
      </w:r>
      <w:r w:rsidR="001D2EEE">
        <w:rPr>
          <w:rFonts w:ascii="Times New Roman" w:eastAsia="Times New Roman" w:hAnsi="Times New Roman" w:cs="Times New Roman"/>
          <w:sz w:val="24"/>
          <w:szCs w:val="24"/>
          <w:lang w:eastAsia="bg-BG"/>
        </w:rPr>
        <w:t>за</w:t>
      </w:r>
      <w:r w:rsidRPr="007E7617">
        <w:rPr>
          <w:rFonts w:ascii="Times New Roman" w:eastAsia="Times New Roman" w:hAnsi="Times New Roman" w:cs="Times New Roman"/>
          <w:sz w:val="24"/>
          <w:szCs w:val="24"/>
          <w:lang w:eastAsia="bg-BG"/>
        </w:rPr>
        <w:t xml:space="preserve"> защитата срещу дискриминация.</w:t>
      </w:r>
      <w:r w:rsidRPr="007E7617">
        <w:rPr>
          <w:rFonts w:ascii="Times New Roman" w:eastAsia="Times New Roman" w:hAnsi="Times New Roman" w:cs="Times New Roman"/>
          <w:sz w:val="24"/>
          <w:szCs w:val="24"/>
          <w:vertAlign w:val="superscript"/>
          <w:lang w:eastAsia="bg-BG"/>
        </w:rPr>
        <w:footnoteReference w:id="5"/>
      </w:r>
      <w:r w:rsidRPr="007E7617">
        <w:rPr>
          <w:rFonts w:ascii="Times New Roman" w:eastAsia="Times New Roman" w:hAnsi="Times New Roman" w:cs="Times New Roman"/>
          <w:sz w:val="24"/>
          <w:szCs w:val="24"/>
          <w:lang w:eastAsia="bg-BG"/>
        </w:rPr>
        <w:t xml:space="preserve"> </w:t>
      </w:r>
    </w:p>
    <w:p w:rsidR="007E7617" w:rsidRPr="007E7617" w:rsidRDefault="007E7617" w:rsidP="006E300F">
      <w:pPr>
        <w:spacing w:after="0" w:line="360" w:lineRule="auto"/>
        <w:ind w:firstLine="709"/>
        <w:jc w:val="both"/>
        <w:rPr>
          <w:rFonts w:ascii="Times New Roman" w:eastAsia="Times New Roman" w:hAnsi="Times New Roman" w:cs="Times New Roman"/>
          <w:sz w:val="24"/>
          <w:szCs w:val="24"/>
          <w:lang w:eastAsia="bg-BG"/>
        </w:rPr>
      </w:pPr>
      <w:r w:rsidRPr="007E7617">
        <w:rPr>
          <w:rFonts w:ascii="Times New Roman" w:eastAsia="Times New Roman" w:hAnsi="Times New Roman" w:cs="Times New Roman"/>
          <w:sz w:val="24"/>
          <w:szCs w:val="24"/>
          <w:lang w:eastAsia="bg-BG"/>
        </w:rPr>
        <w:lastRenderedPageBreak/>
        <w:t>Той може да обхваща и актовете, с които са избрани членовете на орган за защита срещу дискриминация. Въобще „технически“ дискриминацията може да се открие по различен начин във фактическата преценка между две норми една от които е конституционната</w:t>
      </w:r>
      <w:r w:rsidRPr="007E7617">
        <w:rPr>
          <w:rFonts w:ascii="Times New Roman" w:eastAsia="Times New Roman" w:hAnsi="Times New Roman" w:cs="Times New Roman"/>
          <w:b/>
          <w:sz w:val="24"/>
          <w:szCs w:val="24"/>
          <w:lang w:eastAsia="bg-BG"/>
        </w:rPr>
        <w:t xml:space="preserve">. </w:t>
      </w:r>
      <w:r w:rsidRPr="007E7617">
        <w:rPr>
          <w:rFonts w:ascii="Times New Roman" w:eastAsia="Times New Roman" w:hAnsi="Times New Roman" w:cs="Times New Roman"/>
          <w:sz w:val="24"/>
          <w:szCs w:val="24"/>
          <w:lang w:eastAsia="bg-BG"/>
        </w:rPr>
        <w:t xml:space="preserve">С всичките  уговорки около действието на решението на КС при обявяване на закон за противоконституционен, не следва да се забравя, че абстрактният </w:t>
      </w:r>
      <w:proofErr w:type="spellStart"/>
      <w:r w:rsidRPr="007E7617">
        <w:rPr>
          <w:rFonts w:ascii="Times New Roman" w:eastAsia="Times New Roman" w:hAnsi="Times New Roman" w:cs="Times New Roman"/>
          <w:sz w:val="24"/>
          <w:szCs w:val="24"/>
          <w:lang w:eastAsia="bg-BG"/>
        </w:rPr>
        <w:t>нормен</w:t>
      </w:r>
      <w:proofErr w:type="spellEnd"/>
      <w:r w:rsidRPr="007E7617">
        <w:rPr>
          <w:rFonts w:ascii="Times New Roman" w:eastAsia="Times New Roman" w:hAnsi="Times New Roman" w:cs="Times New Roman"/>
          <w:sz w:val="24"/>
          <w:szCs w:val="24"/>
          <w:lang w:eastAsia="bg-BG"/>
        </w:rPr>
        <w:t xml:space="preserve"> контрол брани основните права на неограничен кръг адресати и конституционно </w:t>
      </w:r>
      <w:proofErr w:type="spellStart"/>
      <w:r w:rsidRPr="007E7617">
        <w:rPr>
          <w:rFonts w:ascii="Times New Roman" w:eastAsia="Times New Roman" w:hAnsi="Times New Roman" w:cs="Times New Roman"/>
          <w:sz w:val="24"/>
          <w:szCs w:val="24"/>
          <w:lang w:eastAsia="bg-BG"/>
        </w:rPr>
        <w:t>безалтернативен</w:t>
      </w:r>
      <w:proofErr w:type="spellEnd"/>
      <w:r w:rsidRPr="007E7617">
        <w:rPr>
          <w:rFonts w:ascii="Times New Roman" w:eastAsia="Times New Roman" w:hAnsi="Times New Roman" w:cs="Times New Roman"/>
          <w:sz w:val="24"/>
          <w:szCs w:val="24"/>
          <w:lang w:eastAsia="bg-BG"/>
        </w:rPr>
        <w:t xml:space="preserve"> по отношение на закон, който нарушава </w:t>
      </w:r>
      <w:r w:rsidR="001B7389">
        <w:rPr>
          <w:rFonts w:ascii="Times New Roman" w:eastAsia="Times New Roman" w:hAnsi="Times New Roman" w:cs="Times New Roman"/>
          <w:sz w:val="24"/>
          <w:szCs w:val="24"/>
          <w:lang w:eastAsia="bg-BG"/>
        </w:rPr>
        <w:t xml:space="preserve">основни </w:t>
      </w:r>
      <w:r w:rsidRPr="007E7617">
        <w:rPr>
          <w:rFonts w:ascii="Times New Roman" w:eastAsia="Times New Roman" w:hAnsi="Times New Roman" w:cs="Times New Roman"/>
          <w:sz w:val="24"/>
          <w:szCs w:val="24"/>
          <w:lang w:eastAsia="bg-BG"/>
        </w:rPr>
        <w:t>права.</w:t>
      </w:r>
    </w:p>
    <w:p w:rsidR="007E7617" w:rsidRPr="007E7617" w:rsidRDefault="007E7617" w:rsidP="006E300F">
      <w:pPr>
        <w:spacing w:after="0" w:line="360" w:lineRule="auto"/>
        <w:ind w:firstLine="709"/>
        <w:jc w:val="both"/>
        <w:rPr>
          <w:rFonts w:ascii="Times New Roman" w:eastAsia="Times New Roman" w:hAnsi="Times New Roman" w:cs="Times New Roman"/>
          <w:sz w:val="24"/>
          <w:szCs w:val="24"/>
          <w:lang w:eastAsia="bg-BG"/>
        </w:rPr>
      </w:pPr>
      <w:r w:rsidRPr="007E7617">
        <w:rPr>
          <w:rFonts w:ascii="Times New Roman" w:eastAsia="Times New Roman" w:hAnsi="Times New Roman" w:cs="Times New Roman"/>
          <w:sz w:val="24"/>
          <w:szCs w:val="24"/>
          <w:lang w:eastAsia="bg-BG"/>
        </w:rPr>
        <w:t xml:space="preserve">Необходимото изискване за наличието на закон, който би нарушил права и свободи на гражданите при сезирането от омбудсмана (чл. 150, ал.3) и Висшия адвокатски съвет (чл. 150, ал.4) всъщност се третира от КС като своеобразен „правен интерес“. Следва да се отчете, че „новите“ конституционните текстове не диференцират </w:t>
      </w:r>
      <w:proofErr w:type="spellStart"/>
      <w:r w:rsidRPr="007E7617">
        <w:rPr>
          <w:rFonts w:ascii="Times New Roman" w:eastAsia="Times New Roman" w:hAnsi="Times New Roman" w:cs="Times New Roman"/>
          <w:sz w:val="24"/>
          <w:szCs w:val="24"/>
          <w:lang w:eastAsia="bg-BG"/>
        </w:rPr>
        <w:t>нормения</w:t>
      </w:r>
      <w:proofErr w:type="spellEnd"/>
      <w:r w:rsidRPr="007E7617">
        <w:rPr>
          <w:rFonts w:ascii="Times New Roman" w:eastAsia="Times New Roman" w:hAnsi="Times New Roman" w:cs="Times New Roman"/>
          <w:sz w:val="24"/>
          <w:szCs w:val="24"/>
          <w:lang w:eastAsia="bg-BG"/>
        </w:rPr>
        <w:t xml:space="preserve"> контрол по предмет – закони, които нарушават права и такива, които не нарушават права или по-скоро „и всичко останало“, а само подчертават защитната функция на съда и сезиращите субекти при сезиране на чл. 150, ал.3-4. Естествено тези сезиращи субекти са допуснати до Конституционния процес с оглед на определени правомощия на КС.</w:t>
      </w:r>
    </w:p>
    <w:p w:rsidR="007E7617" w:rsidRPr="007E7617" w:rsidRDefault="007E7617" w:rsidP="006E300F">
      <w:pPr>
        <w:spacing w:after="0" w:line="360" w:lineRule="auto"/>
        <w:ind w:firstLine="709"/>
        <w:jc w:val="both"/>
        <w:rPr>
          <w:rFonts w:ascii="Times New Roman" w:eastAsia="Times New Roman" w:hAnsi="Times New Roman" w:cs="Times New Roman"/>
          <w:sz w:val="24"/>
          <w:szCs w:val="24"/>
          <w:lang w:eastAsia="bg-BG"/>
        </w:rPr>
      </w:pPr>
      <w:r w:rsidRPr="007E7617">
        <w:rPr>
          <w:rFonts w:ascii="Times New Roman" w:eastAsia="Times New Roman" w:hAnsi="Times New Roman" w:cs="Times New Roman"/>
          <w:sz w:val="24"/>
          <w:szCs w:val="24"/>
          <w:lang w:eastAsia="bg-BG"/>
        </w:rPr>
        <w:t>Освен че липсва каквато и да е конституционна пречка, може да се предположи, че КС на общо основание дължи съблюдаване на забраната за дискриминация при осъществяване на другите си специфични правомощия, конкретно при произнасяне по конституционността на политическите партии и сдружения; при спорове за компетентност; при преценка законността на избор на народен представител, президенти и вицепрезидент</w:t>
      </w:r>
      <w:r w:rsidRPr="007E7617">
        <w:rPr>
          <w:rFonts w:ascii="Times New Roman" w:eastAsia="Times New Roman" w:hAnsi="Times New Roman" w:cs="Times New Roman"/>
          <w:i/>
          <w:sz w:val="24"/>
          <w:szCs w:val="24"/>
          <w:lang w:eastAsia="bg-BG"/>
        </w:rPr>
        <w:t xml:space="preserve">. </w:t>
      </w:r>
      <w:r w:rsidRPr="007E7617">
        <w:rPr>
          <w:rFonts w:ascii="Times New Roman" w:eastAsia="Times New Roman" w:hAnsi="Times New Roman" w:cs="Times New Roman"/>
          <w:sz w:val="24"/>
          <w:szCs w:val="24"/>
          <w:lang w:eastAsia="bg-BG"/>
        </w:rPr>
        <w:t>Тук  житейски са мислими различни хипотези.</w:t>
      </w:r>
    </w:p>
    <w:p w:rsidR="007E7617" w:rsidRPr="007E7617" w:rsidRDefault="007E7617" w:rsidP="006E300F">
      <w:pPr>
        <w:spacing w:after="0" w:line="360" w:lineRule="auto"/>
        <w:ind w:firstLine="709"/>
        <w:jc w:val="both"/>
        <w:rPr>
          <w:rFonts w:ascii="Times New Roman" w:eastAsia="Calibri" w:hAnsi="Times New Roman" w:cs="Times New Roman"/>
          <w:sz w:val="24"/>
          <w:szCs w:val="24"/>
        </w:rPr>
      </w:pPr>
      <w:r w:rsidRPr="007E7617">
        <w:rPr>
          <w:rFonts w:ascii="Times New Roman" w:eastAsia="Calibri" w:hAnsi="Times New Roman" w:cs="Times New Roman"/>
          <w:sz w:val="24"/>
          <w:szCs w:val="24"/>
        </w:rPr>
        <w:t xml:space="preserve">Нормативното тълкуване  на КС при условията на чл. 149, ал.1, т. 1 КРБ също е ефективно средство </w:t>
      </w:r>
      <w:r w:rsidR="00712302">
        <w:rPr>
          <w:rFonts w:ascii="Times New Roman" w:eastAsia="Calibri" w:hAnsi="Times New Roman" w:cs="Times New Roman"/>
          <w:sz w:val="24"/>
          <w:szCs w:val="24"/>
        </w:rPr>
        <w:t>за съблюдаване</w:t>
      </w:r>
      <w:r w:rsidRPr="007E7617">
        <w:rPr>
          <w:rFonts w:ascii="Times New Roman" w:eastAsia="Calibri" w:hAnsi="Times New Roman" w:cs="Times New Roman"/>
          <w:sz w:val="24"/>
          <w:szCs w:val="24"/>
        </w:rPr>
        <w:t xml:space="preserve"> на </w:t>
      </w:r>
      <w:proofErr w:type="spellStart"/>
      <w:r w:rsidRPr="007E7617">
        <w:rPr>
          <w:rFonts w:ascii="Times New Roman" w:eastAsia="Calibri" w:hAnsi="Times New Roman" w:cs="Times New Roman"/>
          <w:sz w:val="24"/>
          <w:szCs w:val="24"/>
        </w:rPr>
        <w:t>недискриминацията</w:t>
      </w:r>
      <w:proofErr w:type="spellEnd"/>
      <w:r w:rsidRPr="007E7617">
        <w:rPr>
          <w:rFonts w:ascii="Times New Roman" w:eastAsia="Calibri" w:hAnsi="Times New Roman" w:cs="Times New Roman"/>
          <w:sz w:val="24"/>
          <w:szCs w:val="24"/>
        </w:rPr>
        <w:t xml:space="preserve"> и равенството. Вероятно именно по линия на това правомощие в близкото бъдеще, КС ще бъде „притиснат“ от необходимостта да бъде изяснено отделното значение на установените защитни признаци в чл. 6, ал.2 от КРБ.</w:t>
      </w:r>
    </w:p>
    <w:p w:rsidR="006E300F" w:rsidRDefault="006E300F" w:rsidP="006E300F">
      <w:pPr>
        <w:spacing w:after="0" w:line="360" w:lineRule="auto"/>
        <w:jc w:val="both"/>
        <w:rPr>
          <w:rFonts w:ascii="Times New Roman" w:eastAsia="Calibri" w:hAnsi="Times New Roman" w:cs="Times New Roman"/>
          <w:sz w:val="24"/>
          <w:szCs w:val="24"/>
        </w:rPr>
      </w:pPr>
    </w:p>
    <w:p w:rsidR="007E7617" w:rsidRPr="006E300F" w:rsidRDefault="006E300F" w:rsidP="006E300F">
      <w:pPr>
        <w:spacing w:after="0" w:line="360" w:lineRule="auto"/>
        <w:ind w:firstLine="708"/>
        <w:jc w:val="both"/>
        <w:rPr>
          <w:rFonts w:ascii="Times New Roman" w:eastAsia="Calibri" w:hAnsi="Times New Roman" w:cs="Times New Roman"/>
          <w:sz w:val="24"/>
          <w:szCs w:val="24"/>
        </w:rPr>
      </w:pPr>
      <w:r w:rsidRPr="006E300F">
        <w:rPr>
          <w:rFonts w:ascii="Times New Roman" w:eastAsia="Calibri" w:hAnsi="Times New Roman" w:cs="Times New Roman"/>
          <w:b/>
          <w:sz w:val="24"/>
          <w:szCs w:val="24"/>
        </w:rPr>
        <w:t>2.</w:t>
      </w:r>
      <w:r>
        <w:rPr>
          <w:rFonts w:ascii="Times New Roman" w:eastAsia="Calibri" w:hAnsi="Times New Roman" w:cs="Times New Roman"/>
          <w:sz w:val="24"/>
          <w:szCs w:val="24"/>
        </w:rPr>
        <w:t xml:space="preserve"> </w:t>
      </w:r>
      <w:r w:rsidR="007E7617" w:rsidRPr="006E300F">
        <w:rPr>
          <w:rFonts w:ascii="Times New Roman" w:eastAsia="Calibri" w:hAnsi="Times New Roman" w:cs="Times New Roman"/>
          <w:sz w:val="24"/>
          <w:szCs w:val="24"/>
        </w:rPr>
        <w:t xml:space="preserve">В светлината на равенството и </w:t>
      </w:r>
      <w:proofErr w:type="spellStart"/>
      <w:r w:rsidR="007E7617" w:rsidRPr="006E300F">
        <w:rPr>
          <w:rFonts w:ascii="Times New Roman" w:eastAsia="Calibri" w:hAnsi="Times New Roman" w:cs="Times New Roman"/>
          <w:sz w:val="24"/>
          <w:szCs w:val="24"/>
        </w:rPr>
        <w:t>недискриминацията</w:t>
      </w:r>
      <w:proofErr w:type="spellEnd"/>
      <w:r w:rsidR="007E7617" w:rsidRPr="006E300F">
        <w:rPr>
          <w:rFonts w:ascii="Times New Roman" w:eastAsia="Calibri" w:hAnsi="Times New Roman" w:cs="Times New Roman"/>
          <w:sz w:val="24"/>
          <w:szCs w:val="24"/>
        </w:rPr>
        <w:t xml:space="preserve"> предизвикателствата пред Конституционния процес не са нерешими.</w:t>
      </w:r>
    </w:p>
    <w:p w:rsidR="006E300F" w:rsidRDefault="007E7617" w:rsidP="006E300F">
      <w:pPr>
        <w:spacing w:after="0" w:line="360" w:lineRule="auto"/>
        <w:ind w:firstLine="709"/>
        <w:jc w:val="both"/>
        <w:rPr>
          <w:rFonts w:ascii="Times New Roman" w:eastAsia="Calibri" w:hAnsi="Times New Roman" w:cs="Times New Roman"/>
          <w:sz w:val="24"/>
          <w:szCs w:val="24"/>
        </w:rPr>
      </w:pPr>
      <w:r w:rsidRPr="007E7617">
        <w:rPr>
          <w:rFonts w:ascii="Times New Roman" w:eastAsia="Calibri" w:hAnsi="Times New Roman" w:cs="Times New Roman"/>
          <w:sz w:val="24"/>
          <w:szCs w:val="24"/>
        </w:rPr>
        <w:t xml:space="preserve">На първо място, членството на България в ЕС „нанесе“ нов </w:t>
      </w:r>
      <w:proofErr w:type="spellStart"/>
      <w:r w:rsidRPr="007E7617">
        <w:rPr>
          <w:rFonts w:ascii="Times New Roman" w:eastAsia="Calibri" w:hAnsi="Times New Roman" w:cs="Times New Roman"/>
          <w:sz w:val="24"/>
          <w:szCs w:val="24"/>
        </w:rPr>
        <w:t>правопорядък</w:t>
      </w:r>
      <w:proofErr w:type="spellEnd"/>
      <w:r w:rsidRPr="007E7617">
        <w:rPr>
          <w:rFonts w:ascii="Times New Roman" w:eastAsia="Calibri" w:hAnsi="Times New Roman" w:cs="Times New Roman"/>
          <w:sz w:val="24"/>
          <w:szCs w:val="24"/>
        </w:rPr>
        <w:t xml:space="preserve">, с който наред с всички останали следва да се съобразява и Конституционният ни съд. </w:t>
      </w:r>
    </w:p>
    <w:p w:rsidR="006E300F" w:rsidRDefault="006E300F" w:rsidP="006E300F">
      <w:pPr>
        <w:spacing w:after="0" w:line="360" w:lineRule="auto"/>
        <w:ind w:firstLine="709"/>
        <w:jc w:val="both"/>
        <w:rPr>
          <w:rFonts w:ascii="Times New Roman" w:eastAsia="Calibri" w:hAnsi="Times New Roman" w:cs="Times New Roman"/>
          <w:sz w:val="24"/>
          <w:szCs w:val="24"/>
        </w:rPr>
      </w:pPr>
    </w:p>
    <w:p w:rsidR="007E7617" w:rsidRPr="007E7617" w:rsidRDefault="007E7617" w:rsidP="006E300F">
      <w:pPr>
        <w:spacing w:after="0" w:line="360" w:lineRule="auto"/>
        <w:ind w:firstLine="709"/>
        <w:jc w:val="both"/>
        <w:rPr>
          <w:rFonts w:ascii="Times New Roman" w:eastAsia="Calibri" w:hAnsi="Times New Roman" w:cs="Times New Roman"/>
          <w:sz w:val="24"/>
          <w:szCs w:val="24"/>
        </w:rPr>
      </w:pPr>
      <w:r w:rsidRPr="007E7617">
        <w:rPr>
          <w:rFonts w:ascii="Times New Roman" w:eastAsia="Calibri" w:hAnsi="Times New Roman" w:cs="Times New Roman"/>
          <w:sz w:val="24"/>
          <w:szCs w:val="24"/>
        </w:rPr>
        <w:lastRenderedPageBreak/>
        <w:t xml:space="preserve">Начинът по който </w:t>
      </w:r>
      <w:proofErr w:type="spellStart"/>
      <w:r w:rsidRPr="007E7617">
        <w:rPr>
          <w:rFonts w:ascii="Times New Roman" w:eastAsia="Calibri" w:hAnsi="Times New Roman" w:cs="Times New Roman"/>
          <w:sz w:val="24"/>
          <w:szCs w:val="24"/>
        </w:rPr>
        <w:t>недискриминацията</w:t>
      </w:r>
      <w:proofErr w:type="spellEnd"/>
      <w:r w:rsidRPr="007E7617">
        <w:rPr>
          <w:rFonts w:ascii="Times New Roman" w:eastAsia="Calibri" w:hAnsi="Times New Roman" w:cs="Times New Roman"/>
          <w:sz w:val="24"/>
          <w:szCs w:val="24"/>
        </w:rPr>
        <w:t xml:space="preserve"> и равенството е установено в чл.10 от ДФЕС поставя закрилата от гледна точка на ефективността – </w:t>
      </w:r>
      <w:r w:rsidRPr="007E7617">
        <w:rPr>
          <w:rFonts w:ascii="Times New Roman" w:eastAsia="Calibri" w:hAnsi="Times New Roman" w:cs="Times New Roman"/>
          <w:i/>
          <w:sz w:val="24"/>
          <w:szCs w:val="24"/>
        </w:rPr>
        <w:t>при определянето и осъществяването на своите политики и дейности Съюзът преследва премахването на всяка форма на дискриминация, основана на пол, раса или етническа принадлежност, религия или убеждения, увреждане, възраст или сексуална ориентация</w:t>
      </w:r>
      <w:r w:rsidRPr="007E7617">
        <w:rPr>
          <w:rFonts w:ascii="Times New Roman" w:eastAsia="Calibri" w:hAnsi="Times New Roman" w:cs="Times New Roman"/>
          <w:sz w:val="24"/>
          <w:szCs w:val="24"/>
        </w:rPr>
        <w:t xml:space="preserve">. Това означава, че Правото на ЕС чрез възможните му механизми съблюдава съдържателното прилагане на </w:t>
      </w:r>
      <w:proofErr w:type="spellStart"/>
      <w:r w:rsidRPr="007E7617">
        <w:rPr>
          <w:rFonts w:ascii="Times New Roman" w:eastAsia="Calibri" w:hAnsi="Times New Roman" w:cs="Times New Roman"/>
          <w:sz w:val="24"/>
          <w:szCs w:val="24"/>
        </w:rPr>
        <w:t>недискриминацията</w:t>
      </w:r>
      <w:proofErr w:type="spellEnd"/>
      <w:r w:rsidRPr="007E7617">
        <w:rPr>
          <w:rFonts w:ascii="Times New Roman" w:eastAsia="Calibri" w:hAnsi="Times New Roman" w:cs="Times New Roman"/>
          <w:sz w:val="24"/>
          <w:szCs w:val="24"/>
        </w:rPr>
        <w:t xml:space="preserve"> в сферите на компетентност на ЕС. При това не като постулат, а като резултат. От тук и рационалното взаимодействие между конституционния порядък на националната държава и Правото на ЕС се превърна </w:t>
      </w:r>
      <w:r w:rsidR="00CF0C83" w:rsidRPr="00364910">
        <w:rPr>
          <w:rFonts w:ascii="Times New Roman" w:eastAsia="Calibri" w:hAnsi="Times New Roman" w:cs="Times New Roman"/>
          <w:sz w:val="24"/>
          <w:szCs w:val="24"/>
        </w:rPr>
        <w:t xml:space="preserve">в </w:t>
      </w:r>
      <w:r w:rsidRPr="007E7617">
        <w:rPr>
          <w:rFonts w:ascii="Times New Roman" w:eastAsia="Calibri" w:hAnsi="Times New Roman" w:cs="Times New Roman"/>
          <w:sz w:val="24"/>
          <w:szCs w:val="24"/>
        </w:rPr>
        <w:t xml:space="preserve">необходимо средство за съгласуване на </w:t>
      </w:r>
      <w:proofErr w:type="spellStart"/>
      <w:r w:rsidRPr="007E7617">
        <w:rPr>
          <w:rFonts w:ascii="Times New Roman" w:eastAsia="Calibri" w:hAnsi="Times New Roman" w:cs="Times New Roman"/>
          <w:sz w:val="24"/>
          <w:szCs w:val="24"/>
        </w:rPr>
        <w:t>антидискриминационните</w:t>
      </w:r>
      <w:proofErr w:type="spellEnd"/>
      <w:r w:rsidRPr="007E7617">
        <w:rPr>
          <w:rFonts w:ascii="Times New Roman" w:eastAsia="Calibri" w:hAnsi="Times New Roman" w:cs="Times New Roman"/>
          <w:sz w:val="24"/>
          <w:szCs w:val="24"/>
        </w:rPr>
        <w:t xml:space="preserve"> стандарти. Парадоксално, това взаимодействие доближи Конституцията до собствените ѝ граждани. Днес всеки български съд може да отправи запитване по см. на чл. 267 от ДФЕС до Съда в Люксембург по отношение изясняване съдържанието на определени положения от Правото на ЕС. Всеки български гражданин при определени условия може да сезира Съда в Страсбург, който </w:t>
      </w:r>
      <w:r w:rsidR="0060077B" w:rsidRPr="00364910">
        <w:rPr>
          <w:rFonts w:ascii="Times New Roman" w:eastAsia="Calibri" w:hAnsi="Times New Roman" w:cs="Times New Roman"/>
          <w:sz w:val="24"/>
          <w:szCs w:val="24"/>
        </w:rPr>
        <w:t>„</w:t>
      </w:r>
      <w:r w:rsidRPr="007E7617">
        <w:rPr>
          <w:rFonts w:ascii="Times New Roman" w:eastAsia="Calibri" w:hAnsi="Times New Roman" w:cs="Times New Roman"/>
          <w:sz w:val="24"/>
          <w:szCs w:val="24"/>
        </w:rPr>
        <w:t>цени</w:t>
      </w:r>
      <w:r w:rsidR="0060077B" w:rsidRPr="00364910">
        <w:rPr>
          <w:rFonts w:ascii="Times New Roman" w:eastAsia="Calibri" w:hAnsi="Times New Roman" w:cs="Times New Roman"/>
          <w:sz w:val="24"/>
          <w:szCs w:val="24"/>
        </w:rPr>
        <w:t>“</w:t>
      </w:r>
      <w:r w:rsidRPr="007E7617">
        <w:rPr>
          <w:rFonts w:ascii="Times New Roman" w:eastAsia="Calibri" w:hAnsi="Times New Roman" w:cs="Times New Roman"/>
          <w:sz w:val="24"/>
          <w:szCs w:val="24"/>
        </w:rPr>
        <w:t xml:space="preserve"> поведението на националната държава с огледа правата такива каквито са в ЕКПЧ. De </w:t>
      </w:r>
      <w:proofErr w:type="spellStart"/>
      <w:r w:rsidRPr="007E7617">
        <w:rPr>
          <w:rFonts w:ascii="Times New Roman" w:eastAsia="Calibri" w:hAnsi="Times New Roman" w:cs="Times New Roman"/>
          <w:sz w:val="24"/>
          <w:szCs w:val="24"/>
        </w:rPr>
        <w:t>facto</w:t>
      </w:r>
      <w:proofErr w:type="spellEnd"/>
      <w:r w:rsidRPr="007E7617">
        <w:rPr>
          <w:rFonts w:ascii="Times New Roman" w:eastAsia="Calibri" w:hAnsi="Times New Roman" w:cs="Times New Roman"/>
          <w:sz w:val="24"/>
          <w:szCs w:val="24"/>
        </w:rPr>
        <w:t xml:space="preserve"> в много случаи СЕС негласно „тълкува“ правото на националната държава, а КС цени правото на Общността в светлината на Конституцията. Тази „европеизация“ </w:t>
      </w:r>
      <w:r w:rsidR="00712302">
        <w:rPr>
          <w:rFonts w:ascii="Times New Roman" w:eastAsia="Calibri" w:hAnsi="Times New Roman" w:cs="Times New Roman"/>
          <w:sz w:val="24"/>
          <w:szCs w:val="24"/>
        </w:rPr>
        <w:t xml:space="preserve">и </w:t>
      </w:r>
      <w:r w:rsidRPr="007E7617">
        <w:rPr>
          <w:rFonts w:ascii="Times New Roman" w:eastAsia="Calibri" w:hAnsi="Times New Roman" w:cs="Times New Roman"/>
          <w:sz w:val="24"/>
          <w:szCs w:val="24"/>
        </w:rPr>
        <w:t>на Конституционния процес неминуемо трябва да постави различен фокус върху гл. ІІ от КРБ. Прякото приложение на КРБ в голямата си част се осигурява повече от всички останали прав</w:t>
      </w:r>
      <w:r w:rsidR="0060077B" w:rsidRPr="00364910">
        <w:rPr>
          <w:rFonts w:ascii="Times New Roman" w:eastAsia="Calibri" w:hAnsi="Times New Roman" w:cs="Times New Roman"/>
          <w:sz w:val="24"/>
          <w:szCs w:val="24"/>
        </w:rPr>
        <w:t>ораздавателни органи. Показателен</w:t>
      </w:r>
      <w:r w:rsidRPr="007E7617">
        <w:rPr>
          <w:rFonts w:ascii="Times New Roman" w:eastAsia="Calibri" w:hAnsi="Times New Roman" w:cs="Times New Roman"/>
          <w:sz w:val="24"/>
          <w:szCs w:val="24"/>
        </w:rPr>
        <w:t xml:space="preserve"> е незначителният брой сезирания на КС по реда на чл. 150, ал.2 от КРБ. „Обикновеното правораздаване“ </w:t>
      </w:r>
      <w:r w:rsidR="0060077B" w:rsidRPr="00364910">
        <w:rPr>
          <w:rFonts w:ascii="Times New Roman" w:eastAsia="Calibri" w:hAnsi="Times New Roman" w:cs="Times New Roman"/>
          <w:sz w:val="24"/>
          <w:szCs w:val="24"/>
        </w:rPr>
        <w:t>до</w:t>
      </w:r>
      <w:r w:rsidRPr="007E7617">
        <w:rPr>
          <w:rFonts w:ascii="Times New Roman" w:eastAsia="Calibri" w:hAnsi="Times New Roman" w:cs="Times New Roman"/>
          <w:sz w:val="24"/>
          <w:szCs w:val="24"/>
        </w:rPr>
        <w:t xml:space="preserve">стига по-бързо до основните права на гражданите. Примерите в това отношение са многобройни. Преди КС да започне да третира основните конституционни права включително и </w:t>
      </w:r>
      <w:proofErr w:type="spellStart"/>
      <w:r w:rsidRPr="007E7617">
        <w:rPr>
          <w:rFonts w:ascii="Times New Roman" w:eastAsia="Calibri" w:hAnsi="Times New Roman" w:cs="Times New Roman"/>
          <w:sz w:val="24"/>
          <w:szCs w:val="24"/>
        </w:rPr>
        <w:t>недискриминацията</w:t>
      </w:r>
      <w:proofErr w:type="spellEnd"/>
      <w:r w:rsidRPr="007E7617">
        <w:rPr>
          <w:rFonts w:ascii="Times New Roman" w:eastAsia="Calibri" w:hAnsi="Times New Roman" w:cs="Times New Roman"/>
          <w:sz w:val="24"/>
          <w:szCs w:val="24"/>
        </w:rPr>
        <w:t xml:space="preserve"> като права-възможности, стоящи пред индивида, прякото допускане на последния в Конституционния процес ще е без особено юридическо значение.</w:t>
      </w:r>
      <w:r w:rsidR="00712302">
        <w:rPr>
          <w:rFonts w:ascii="Times New Roman" w:eastAsia="Calibri" w:hAnsi="Times New Roman" w:cs="Times New Roman"/>
          <w:sz w:val="24"/>
          <w:szCs w:val="24"/>
        </w:rPr>
        <w:t xml:space="preserve"> От тук и трябва да се подчертае, че </w:t>
      </w:r>
      <w:r w:rsidR="00226A57">
        <w:rPr>
          <w:rFonts w:ascii="Times New Roman" w:eastAsia="Calibri" w:hAnsi="Times New Roman" w:cs="Times New Roman"/>
          <w:sz w:val="24"/>
          <w:szCs w:val="24"/>
        </w:rPr>
        <w:t>важната задача</w:t>
      </w:r>
      <w:r w:rsidR="00712302">
        <w:rPr>
          <w:rFonts w:ascii="Times New Roman" w:eastAsia="Calibri" w:hAnsi="Times New Roman" w:cs="Times New Roman"/>
          <w:sz w:val="24"/>
          <w:szCs w:val="24"/>
        </w:rPr>
        <w:t xml:space="preserve"> на сегашните субекти, които могат да сезират Конституционния съд</w:t>
      </w:r>
      <w:r w:rsidR="00226A57">
        <w:rPr>
          <w:rFonts w:ascii="Times New Roman" w:eastAsia="Calibri" w:hAnsi="Times New Roman" w:cs="Times New Roman"/>
          <w:sz w:val="24"/>
          <w:szCs w:val="24"/>
        </w:rPr>
        <w:t xml:space="preserve"> е да „осмислят“ необходимостта от закрила от КС, като провокират индивидите чрез тях да търси Съда</w:t>
      </w:r>
      <w:r w:rsidR="00712302">
        <w:rPr>
          <w:rFonts w:ascii="Times New Roman" w:eastAsia="Calibri" w:hAnsi="Times New Roman" w:cs="Times New Roman"/>
          <w:sz w:val="24"/>
          <w:szCs w:val="24"/>
        </w:rPr>
        <w:t>.</w:t>
      </w:r>
      <w:r w:rsidR="00226A57">
        <w:rPr>
          <w:rFonts w:ascii="Times New Roman" w:eastAsia="Calibri" w:hAnsi="Times New Roman" w:cs="Times New Roman"/>
          <w:sz w:val="24"/>
          <w:szCs w:val="24"/>
        </w:rPr>
        <w:t xml:space="preserve"> Естествено като въздействат и на КС, чрез Конституционното правораздаване „да търси“ правата на гражданите. </w:t>
      </w:r>
      <w:r w:rsidR="00712302">
        <w:rPr>
          <w:rStyle w:val="FootnoteReference"/>
          <w:rFonts w:ascii="Times New Roman" w:eastAsia="Calibri" w:hAnsi="Times New Roman" w:cs="Times New Roman"/>
          <w:sz w:val="24"/>
          <w:szCs w:val="24"/>
        </w:rPr>
        <w:footnoteReference w:id="6"/>
      </w:r>
    </w:p>
    <w:p w:rsidR="007E7617" w:rsidRPr="007E7617" w:rsidRDefault="007E7617" w:rsidP="006E300F">
      <w:pPr>
        <w:spacing w:after="0" w:line="360" w:lineRule="auto"/>
        <w:ind w:firstLine="709"/>
        <w:jc w:val="both"/>
        <w:rPr>
          <w:rFonts w:ascii="Times New Roman" w:eastAsia="Calibri" w:hAnsi="Times New Roman" w:cs="Times New Roman"/>
          <w:sz w:val="24"/>
          <w:szCs w:val="24"/>
        </w:rPr>
      </w:pPr>
      <w:r w:rsidRPr="007E7617">
        <w:rPr>
          <w:rFonts w:ascii="Times New Roman" w:eastAsia="Arial Unicode MS" w:hAnsi="Times New Roman" w:cs="Times New Roman"/>
          <w:color w:val="000000"/>
          <w:sz w:val="24"/>
          <w:szCs w:val="24"/>
          <w:lang w:eastAsia="bg-BG" w:bidi="bg-BG"/>
        </w:rPr>
        <w:lastRenderedPageBreak/>
        <w:t xml:space="preserve">На второ място, </w:t>
      </w:r>
      <w:r w:rsidRPr="007E7617">
        <w:rPr>
          <w:rFonts w:ascii="Times New Roman" w:eastAsia="Calibri" w:hAnsi="Times New Roman" w:cs="Times New Roman"/>
          <w:sz w:val="24"/>
          <w:szCs w:val="24"/>
        </w:rPr>
        <w:t xml:space="preserve">отдавна въпросите около конституционната жалба не са „дали“ и „защо“, а  „как“ да бъде въведена в действащия конституционен процес у нас. Заслужава да се даде положителна оценка на предвидената в КРБ възможност КС да бъде сезиран от главния прокурор и омбудсмана. В този смисъл са налични такива сезирания на КС по въпроси с изключителна юридическа важност, включително приложение на принципа на равенство и </w:t>
      </w:r>
      <w:proofErr w:type="spellStart"/>
      <w:r w:rsidRPr="007E7617">
        <w:rPr>
          <w:rFonts w:ascii="Times New Roman" w:eastAsia="Calibri" w:hAnsi="Times New Roman" w:cs="Times New Roman"/>
          <w:sz w:val="24"/>
          <w:szCs w:val="24"/>
        </w:rPr>
        <w:t>недискриминацията</w:t>
      </w:r>
      <w:proofErr w:type="spellEnd"/>
      <w:r w:rsidRPr="007E7617">
        <w:rPr>
          <w:rFonts w:ascii="Times New Roman" w:eastAsia="Calibri" w:hAnsi="Times New Roman" w:cs="Times New Roman"/>
          <w:sz w:val="24"/>
          <w:szCs w:val="24"/>
        </w:rPr>
        <w:t>.</w:t>
      </w:r>
    </w:p>
    <w:p w:rsidR="007E7617" w:rsidRPr="007E7617" w:rsidRDefault="007E7617" w:rsidP="006E300F">
      <w:pPr>
        <w:tabs>
          <w:tab w:val="left" w:pos="709"/>
        </w:tabs>
        <w:spacing w:after="0" w:line="360" w:lineRule="auto"/>
        <w:ind w:firstLine="709"/>
        <w:jc w:val="both"/>
        <w:rPr>
          <w:rFonts w:ascii="Times New Roman" w:eastAsia="Calibri" w:hAnsi="Times New Roman" w:cs="Times New Roman"/>
          <w:sz w:val="24"/>
          <w:szCs w:val="24"/>
        </w:rPr>
      </w:pPr>
      <w:r w:rsidRPr="007E7617">
        <w:rPr>
          <w:rFonts w:ascii="Times New Roman" w:eastAsia="Calibri" w:hAnsi="Times New Roman" w:cs="Times New Roman"/>
          <w:sz w:val="24"/>
          <w:szCs w:val="24"/>
        </w:rPr>
        <w:t xml:space="preserve">Проблемът за прякото сезиране на КС не следва да бъде разглеждан от гледище на самия </w:t>
      </w:r>
      <w:r w:rsidR="00316B30">
        <w:rPr>
          <w:rFonts w:ascii="Times New Roman" w:eastAsia="Calibri" w:hAnsi="Times New Roman" w:cs="Times New Roman"/>
          <w:sz w:val="24"/>
          <w:szCs w:val="24"/>
        </w:rPr>
        <w:t>съд</w:t>
      </w:r>
      <w:r w:rsidRPr="007E7617">
        <w:rPr>
          <w:rFonts w:ascii="Times New Roman" w:eastAsia="Calibri" w:hAnsi="Times New Roman" w:cs="Times New Roman"/>
          <w:sz w:val="24"/>
          <w:szCs w:val="24"/>
        </w:rPr>
        <w:t xml:space="preserve">. Не е аргумент, твърдението, че с конституционната жалба ще се утежни работата на КС, но ще нарасне популярността и авторитета му. КС и днес е гарант за основните конституционни права и тази му функция той осъществява и реализацията на което и да е свое правомощие. „Свръх“ </w:t>
      </w:r>
      <w:proofErr w:type="spellStart"/>
      <w:r w:rsidRPr="007E7617">
        <w:rPr>
          <w:rFonts w:ascii="Times New Roman" w:eastAsia="Calibri" w:hAnsi="Times New Roman" w:cs="Times New Roman"/>
          <w:sz w:val="24"/>
          <w:szCs w:val="24"/>
        </w:rPr>
        <w:t>позитивирането</w:t>
      </w:r>
      <w:proofErr w:type="spellEnd"/>
      <w:r w:rsidRPr="007E7617">
        <w:rPr>
          <w:rFonts w:ascii="Times New Roman" w:eastAsia="Calibri" w:hAnsi="Times New Roman" w:cs="Times New Roman"/>
          <w:sz w:val="24"/>
          <w:szCs w:val="24"/>
        </w:rPr>
        <w:t xml:space="preserve"> на конституционния процес би могло да даде формален достъп до индивида до КС, но не и до основните права и КРБ. Конституционната жалба, в каквато и форма да бъде възприета и каквото и разбиране да бъде приложено е инструмент за закрила на основни права и може да бъде средство за защита срещу дискриминация. Нейната необходимост е с оглед интересите на отделния индивид и закрилата му. </w:t>
      </w:r>
    </w:p>
    <w:p w:rsidR="006E300F" w:rsidRDefault="006E300F" w:rsidP="006E300F">
      <w:pPr>
        <w:keepNext/>
        <w:keepLines/>
        <w:spacing w:after="0" w:line="360" w:lineRule="auto"/>
        <w:jc w:val="both"/>
        <w:outlineLvl w:val="2"/>
        <w:rPr>
          <w:rFonts w:ascii="Times New Roman" w:eastAsia="Calibri" w:hAnsi="Times New Roman" w:cs="Times New Roman"/>
          <w:i/>
          <w:sz w:val="24"/>
          <w:szCs w:val="24"/>
        </w:rPr>
      </w:pPr>
      <w:bookmarkStart w:id="4" w:name="_Toc452381880"/>
      <w:bookmarkStart w:id="5" w:name="_Toc452383959"/>
      <w:bookmarkStart w:id="6" w:name="_Toc452384173"/>
      <w:bookmarkStart w:id="7" w:name="_Toc449558378"/>
    </w:p>
    <w:p w:rsidR="007E7617" w:rsidRPr="006E300F" w:rsidRDefault="006E300F" w:rsidP="006E300F">
      <w:pPr>
        <w:keepNext/>
        <w:keepLines/>
        <w:spacing w:after="0" w:line="360" w:lineRule="auto"/>
        <w:ind w:firstLine="708"/>
        <w:jc w:val="both"/>
        <w:outlineLvl w:val="2"/>
        <w:rPr>
          <w:rFonts w:ascii="Times New Roman" w:eastAsia="Calibri" w:hAnsi="Times New Roman" w:cs="Times New Roman"/>
          <w:color w:val="000000"/>
          <w:sz w:val="24"/>
          <w:szCs w:val="24"/>
        </w:rPr>
      </w:pPr>
      <w:r w:rsidRPr="006E300F">
        <w:rPr>
          <w:rFonts w:ascii="Times New Roman" w:eastAsia="Calibri" w:hAnsi="Times New Roman" w:cs="Times New Roman"/>
          <w:b/>
          <w:sz w:val="24"/>
          <w:szCs w:val="24"/>
        </w:rPr>
        <w:t>3.</w:t>
      </w:r>
      <w:r w:rsidRPr="006E300F">
        <w:rPr>
          <w:rFonts w:ascii="Times New Roman" w:eastAsia="Calibri" w:hAnsi="Times New Roman" w:cs="Times New Roman"/>
          <w:sz w:val="24"/>
          <w:szCs w:val="24"/>
        </w:rPr>
        <w:t xml:space="preserve"> </w:t>
      </w:r>
      <w:r w:rsidR="007E7617" w:rsidRPr="006E300F">
        <w:rPr>
          <w:rFonts w:ascii="Times New Roman" w:eastAsia="Calibri" w:hAnsi="Times New Roman" w:cs="Times New Roman"/>
          <w:color w:val="000000"/>
          <w:sz w:val="24"/>
          <w:szCs w:val="24"/>
        </w:rPr>
        <w:t>Проблемът за конституционността на законодателните пропуски (</w:t>
      </w:r>
      <w:proofErr w:type="spellStart"/>
      <w:r w:rsidR="007E7617" w:rsidRPr="006E300F">
        <w:rPr>
          <w:rFonts w:ascii="Times New Roman" w:eastAsia="Calibri" w:hAnsi="Times New Roman" w:cs="Times New Roman"/>
          <w:color w:val="000000"/>
          <w:sz w:val="24"/>
          <w:szCs w:val="24"/>
        </w:rPr>
        <w:t>legislative</w:t>
      </w:r>
      <w:proofErr w:type="spellEnd"/>
      <w:r w:rsidR="007E7617" w:rsidRPr="006E300F">
        <w:rPr>
          <w:rFonts w:ascii="Times New Roman" w:eastAsia="Calibri" w:hAnsi="Times New Roman" w:cs="Times New Roman"/>
          <w:color w:val="000000"/>
          <w:sz w:val="24"/>
          <w:szCs w:val="24"/>
        </w:rPr>
        <w:t xml:space="preserve"> </w:t>
      </w:r>
      <w:proofErr w:type="spellStart"/>
      <w:r w:rsidR="007E7617" w:rsidRPr="006E300F">
        <w:rPr>
          <w:rFonts w:ascii="Times New Roman" w:eastAsia="Calibri" w:hAnsi="Times New Roman" w:cs="Times New Roman"/>
          <w:color w:val="000000"/>
          <w:sz w:val="24"/>
          <w:szCs w:val="24"/>
        </w:rPr>
        <w:t>omission</w:t>
      </w:r>
      <w:proofErr w:type="spellEnd"/>
      <w:r w:rsidR="007E7617" w:rsidRPr="006E300F">
        <w:rPr>
          <w:rFonts w:ascii="Times New Roman" w:eastAsia="Calibri" w:hAnsi="Times New Roman" w:cs="Times New Roman"/>
          <w:color w:val="000000"/>
          <w:sz w:val="24"/>
          <w:szCs w:val="24"/>
        </w:rPr>
        <w:t>)</w:t>
      </w:r>
      <w:bookmarkEnd w:id="4"/>
      <w:bookmarkEnd w:id="5"/>
      <w:bookmarkEnd w:id="6"/>
      <w:bookmarkEnd w:id="7"/>
    </w:p>
    <w:p w:rsidR="007E7617" w:rsidRPr="007E7617" w:rsidRDefault="007E7617" w:rsidP="006E300F">
      <w:pPr>
        <w:spacing w:after="0" w:line="360" w:lineRule="auto"/>
        <w:ind w:firstLine="709"/>
        <w:jc w:val="both"/>
        <w:rPr>
          <w:rFonts w:ascii="Times New Roman" w:eastAsia="Calibri" w:hAnsi="Times New Roman" w:cs="Times New Roman"/>
          <w:sz w:val="24"/>
          <w:szCs w:val="24"/>
        </w:rPr>
      </w:pPr>
      <w:r w:rsidRPr="007E7617">
        <w:rPr>
          <w:rFonts w:ascii="Times New Roman" w:eastAsia="Calibri" w:hAnsi="Times New Roman" w:cs="Times New Roman"/>
          <w:sz w:val="24"/>
          <w:szCs w:val="24"/>
        </w:rPr>
        <w:t>Първото необходимо условие, за да бъдат реализирани позитивните мерки</w:t>
      </w:r>
      <w:r w:rsidR="0060077B" w:rsidRPr="00364910">
        <w:rPr>
          <w:rFonts w:ascii="Times New Roman" w:eastAsia="Calibri" w:hAnsi="Times New Roman" w:cs="Times New Roman"/>
          <w:sz w:val="24"/>
          <w:szCs w:val="24"/>
        </w:rPr>
        <w:t xml:space="preserve"> (</w:t>
      </w:r>
      <w:proofErr w:type="spellStart"/>
      <w:r w:rsidR="0060077B" w:rsidRPr="00364910">
        <w:rPr>
          <w:rFonts w:ascii="Times New Roman" w:eastAsia="Calibri" w:hAnsi="Times New Roman" w:cs="Times New Roman"/>
          <w:sz w:val="24"/>
          <w:szCs w:val="24"/>
        </w:rPr>
        <w:t>affirmative</w:t>
      </w:r>
      <w:proofErr w:type="spellEnd"/>
      <w:r w:rsidR="0060077B" w:rsidRPr="00364910">
        <w:rPr>
          <w:rFonts w:ascii="Times New Roman" w:eastAsia="Calibri" w:hAnsi="Times New Roman" w:cs="Times New Roman"/>
          <w:sz w:val="24"/>
          <w:szCs w:val="24"/>
        </w:rPr>
        <w:t xml:space="preserve"> </w:t>
      </w:r>
      <w:proofErr w:type="spellStart"/>
      <w:r w:rsidR="0060077B" w:rsidRPr="00364910">
        <w:rPr>
          <w:rFonts w:ascii="Times New Roman" w:eastAsia="Calibri" w:hAnsi="Times New Roman" w:cs="Times New Roman"/>
          <w:sz w:val="24"/>
          <w:szCs w:val="24"/>
        </w:rPr>
        <w:t>action</w:t>
      </w:r>
      <w:proofErr w:type="spellEnd"/>
      <w:r w:rsidR="0060077B" w:rsidRPr="00364910">
        <w:rPr>
          <w:rFonts w:ascii="Times New Roman" w:eastAsia="Calibri" w:hAnsi="Times New Roman" w:cs="Times New Roman"/>
          <w:sz w:val="24"/>
          <w:szCs w:val="24"/>
        </w:rPr>
        <w:t>)</w:t>
      </w:r>
      <w:r w:rsidR="0060077B" w:rsidRPr="00364910">
        <w:rPr>
          <w:rStyle w:val="FootnoteReference"/>
          <w:rFonts w:ascii="Times New Roman" w:eastAsia="Calibri" w:hAnsi="Times New Roman" w:cs="Times New Roman"/>
          <w:sz w:val="24"/>
          <w:szCs w:val="24"/>
        </w:rPr>
        <w:footnoteReference w:id="7"/>
      </w:r>
      <w:r w:rsidRPr="007E7617">
        <w:rPr>
          <w:rFonts w:ascii="Times New Roman" w:eastAsia="Calibri" w:hAnsi="Times New Roman" w:cs="Times New Roman"/>
          <w:sz w:val="24"/>
          <w:szCs w:val="24"/>
        </w:rPr>
        <w:t xml:space="preserve"> е законовата им регламентация.</w:t>
      </w:r>
    </w:p>
    <w:p w:rsidR="006E300F" w:rsidRDefault="007E7617" w:rsidP="006E300F">
      <w:pPr>
        <w:spacing w:after="0" w:line="360" w:lineRule="auto"/>
        <w:ind w:firstLine="709"/>
        <w:jc w:val="both"/>
        <w:rPr>
          <w:rFonts w:ascii="Times New Roman" w:eastAsia="Calibri" w:hAnsi="Times New Roman" w:cs="Times New Roman"/>
          <w:sz w:val="24"/>
          <w:szCs w:val="24"/>
        </w:rPr>
      </w:pPr>
      <w:r w:rsidRPr="007E7617">
        <w:rPr>
          <w:rFonts w:ascii="Times New Roman" w:eastAsia="Calibri" w:hAnsi="Times New Roman" w:cs="Times New Roman"/>
          <w:sz w:val="24"/>
          <w:szCs w:val="24"/>
        </w:rPr>
        <w:t xml:space="preserve">В контекста на конституционните права проблемът е твърде специфичен. Съгласно чл. 5, ал.2 от КРБ  разпоредбите на Конституцията имат непосредствено действие, а съгласно чл. 5, ал.4 международните договори, ратифицирани по конституционен ред, обнародвани и влезли в сила за Република България, са част от вътрешното право на страната. Теоретично не би следвало да има проблем с </w:t>
      </w:r>
      <w:r w:rsidR="0060077B" w:rsidRPr="00364910">
        <w:rPr>
          <w:rFonts w:ascii="Times New Roman" w:eastAsia="Calibri" w:hAnsi="Times New Roman" w:cs="Times New Roman"/>
          <w:sz w:val="24"/>
          <w:szCs w:val="24"/>
        </w:rPr>
        <w:t>„</w:t>
      </w:r>
      <w:r w:rsidRPr="007E7617">
        <w:rPr>
          <w:rFonts w:ascii="Times New Roman" w:eastAsia="Calibri" w:hAnsi="Times New Roman" w:cs="Times New Roman"/>
          <w:sz w:val="24"/>
          <w:szCs w:val="24"/>
        </w:rPr>
        <w:t>празнини</w:t>
      </w:r>
      <w:r w:rsidR="0060077B" w:rsidRPr="00364910">
        <w:rPr>
          <w:rFonts w:ascii="Times New Roman" w:eastAsia="Calibri" w:hAnsi="Times New Roman" w:cs="Times New Roman"/>
          <w:sz w:val="24"/>
          <w:szCs w:val="24"/>
        </w:rPr>
        <w:t>“</w:t>
      </w:r>
      <w:r w:rsidRPr="007E7617">
        <w:rPr>
          <w:rFonts w:ascii="Times New Roman" w:eastAsia="Calibri" w:hAnsi="Times New Roman" w:cs="Times New Roman"/>
          <w:sz w:val="24"/>
          <w:szCs w:val="24"/>
        </w:rPr>
        <w:t xml:space="preserve"> относно правата, доколкото от една страна те са </w:t>
      </w:r>
      <w:proofErr w:type="spellStart"/>
      <w:r w:rsidRPr="007E7617">
        <w:rPr>
          <w:rFonts w:ascii="Times New Roman" w:eastAsia="Calibri" w:hAnsi="Times New Roman" w:cs="Times New Roman"/>
          <w:sz w:val="24"/>
          <w:szCs w:val="24"/>
        </w:rPr>
        <w:t>преддържавни</w:t>
      </w:r>
      <w:proofErr w:type="spellEnd"/>
      <w:r w:rsidRPr="007E7617">
        <w:rPr>
          <w:rFonts w:ascii="Times New Roman" w:eastAsia="Calibri" w:hAnsi="Times New Roman" w:cs="Times New Roman"/>
          <w:sz w:val="24"/>
          <w:szCs w:val="24"/>
        </w:rPr>
        <w:t xml:space="preserve">, от друга те имат прецизна регламентация отвъд КРБ и обикновеното законодателство. </w:t>
      </w:r>
    </w:p>
    <w:p w:rsidR="007E7617" w:rsidRPr="007E7617" w:rsidRDefault="007E7617" w:rsidP="006E300F">
      <w:pPr>
        <w:spacing w:after="0" w:line="360" w:lineRule="auto"/>
        <w:ind w:firstLine="709"/>
        <w:jc w:val="both"/>
        <w:rPr>
          <w:rFonts w:ascii="Times New Roman" w:eastAsia="Calibri" w:hAnsi="Times New Roman" w:cs="Times New Roman"/>
          <w:sz w:val="24"/>
          <w:szCs w:val="24"/>
        </w:rPr>
      </w:pPr>
      <w:r w:rsidRPr="007E7617">
        <w:rPr>
          <w:rFonts w:ascii="Times New Roman" w:eastAsia="Calibri" w:hAnsi="Times New Roman" w:cs="Times New Roman"/>
          <w:sz w:val="24"/>
          <w:szCs w:val="24"/>
        </w:rPr>
        <w:lastRenderedPageBreak/>
        <w:t xml:space="preserve">Прякото приложение на тези разпоредби би решило въпроса както със законодателните, така и с конституционните празнини. Само че позитивните мерки не са основни права. </w:t>
      </w:r>
    </w:p>
    <w:p w:rsidR="007E7617" w:rsidRPr="007E7617" w:rsidRDefault="007E7617" w:rsidP="006E300F">
      <w:pPr>
        <w:spacing w:after="0" w:line="360" w:lineRule="auto"/>
        <w:ind w:firstLine="709"/>
        <w:jc w:val="both"/>
        <w:rPr>
          <w:rFonts w:ascii="Times New Roman" w:eastAsia="Calibri" w:hAnsi="Times New Roman" w:cs="Times New Roman"/>
          <w:sz w:val="24"/>
          <w:szCs w:val="24"/>
        </w:rPr>
      </w:pPr>
      <w:r w:rsidRPr="007E7617">
        <w:rPr>
          <w:rFonts w:ascii="Times New Roman" w:eastAsia="Calibri" w:hAnsi="Times New Roman" w:cs="Times New Roman"/>
          <w:sz w:val="24"/>
          <w:szCs w:val="24"/>
        </w:rPr>
        <w:t xml:space="preserve">Празнините в източниците са неизбежни. Задачата на всички правоприлагащи органи е да не допускат празнините в източниците да се превърнат в „празноти на правата“. </w:t>
      </w:r>
      <w:r w:rsidR="0060077B" w:rsidRPr="00364910">
        <w:rPr>
          <w:rFonts w:ascii="Times New Roman" w:eastAsia="Calibri" w:hAnsi="Times New Roman" w:cs="Times New Roman"/>
          <w:sz w:val="24"/>
          <w:szCs w:val="24"/>
        </w:rPr>
        <w:t xml:space="preserve"> </w:t>
      </w:r>
      <w:r w:rsidRPr="007E7617">
        <w:rPr>
          <w:rFonts w:ascii="Times New Roman" w:eastAsia="Calibri" w:hAnsi="Times New Roman" w:cs="Times New Roman"/>
          <w:sz w:val="24"/>
          <w:szCs w:val="24"/>
        </w:rPr>
        <w:t xml:space="preserve">Макар и да нямат програмен характер, а изричен такъв, </w:t>
      </w:r>
      <w:r w:rsidR="0060077B" w:rsidRPr="00364910">
        <w:rPr>
          <w:rFonts w:ascii="Times New Roman" w:eastAsia="Calibri" w:hAnsi="Times New Roman" w:cs="Times New Roman"/>
          <w:sz w:val="24"/>
          <w:szCs w:val="24"/>
        </w:rPr>
        <w:t xml:space="preserve">повечето </w:t>
      </w:r>
      <w:r w:rsidRPr="007E7617">
        <w:rPr>
          <w:rFonts w:ascii="Times New Roman" w:eastAsia="Calibri" w:hAnsi="Times New Roman" w:cs="Times New Roman"/>
          <w:sz w:val="24"/>
          <w:szCs w:val="24"/>
        </w:rPr>
        <w:t>к</w:t>
      </w:r>
      <w:r w:rsidR="0060077B" w:rsidRPr="00364910">
        <w:rPr>
          <w:rFonts w:ascii="Times New Roman" w:eastAsia="Calibri" w:hAnsi="Times New Roman" w:cs="Times New Roman"/>
          <w:sz w:val="24"/>
          <w:szCs w:val="24"/>
        </w:rPr>
        <w:t>онституционни</w:t>
      </w:r>
      <w:r w:rsidRPr="007E7617">
        <w:rPr>
          <w:rFonts w:ascii="Times New Roman" w:eastAsia="Calibri" w:hAnsi="Times New Roman" w:cs="Times New Roman"/>
          <w:sz w:val="24"/>
          <w:szCs w:val="24"/>
        </w:rPr>
        <w:t xml:space="preserve"> разпоредби, въвеждащи особена закрила</w:t>
      </w:r>
      <w:r w:rsidR="00894670" w:rsidRPr="00364910">
        <w:rPr>
          <w:rFonts w:ascii="Times New Roman" w:eastAsia="Calibri" w:hAnsi="Times New Roman" w:cs="Times New Roman"/>
          <w:sz w:val="24"/>
          <w:szCs w:val="24"/>
        </w:rPr>
        <w:t xml:space="preserve"> (неравно третиране)</w:t>
      </w:r>
      <w:r w:rsidRPr="007E7617">
        <w:rPr>
          <w:rFonts w:ascii="Times New Roman" w:eastAsia="Calibri" w:hAnsi="Times New Roman" w:cs="Times New Roman"/>
          <w:sz w:val="24"/>
          <w:szCs w:val="24"/>
        </w:rPr>
        <w:t xml:space="preserve"> изискват конкретно съдействие от страна на законодателя, така че той да регламентира редът по който мерките ще постигнат предназначението си. Проблемът със законодателните пропуски в тези случай не е по-различен от проблемът с противоправните бездействия в правото. Очевидно е, че законодателят, а може би и законът следва да бъдат „санкционирани“. Средствата на конституционния процес не може да бъдат достатъчни. В светлината на </w:t>
      </w:r>
      <w:proofErr w:type="spellStart"/>
      <w:r w:rsidRPr="007E7617">
        <w:rPr>
          <w:rFonts w:ascii="Times New Roman" w:eastAsia="Calibri" w:hAnsi="Times New Roman" w:cs="Times New Roman"/>
          <w:sz w:val="24"/>
          <w:szCs w:val="24"/>
        </w:rPr>
        <w:t>абстрактиния</w:t>
      </w:r>
      <w:proofErr w:type="spellEnd"/>
      <w:r w:rsidRPr="007E7617">
        <w:rPr>
          <w:rFonts w:ascii="Times New Roman" w:eastAsia="Calibri" w:hAnsi="Times New Roman" w:cs="Times New Roman"/>
          <w:sz w:val="24"/>
          <w:szCs w:val="24"/>
        </w:rPr>
        <w:t xml:space="preserve"> </w:t>
      </w:r>
      <w:proofErr w:type="spellStart"/>
      <w:r w:rsidRPr="007E7617">
        <w:rPr>
          <w:rFonts w:ascii="Times New Roman" w:eastAsia="Calibri" w:hAnsi="Times New Roman" w:cs="Times New Roman"/>
          <w:sz w:val="24"/>
          <w:szCs w:val="24"/>
        </w:rPr>
        <w:t>нормен</w:t>
      </w:r>
      <w:proofErr w:type="spellEnd"/>
      <w:r w:rsidRPr="007E7617">
        <w:rPr>
          <w:rFonts w:ascii="Times New Roman" w:eastAsia="Calibri" w:hAnsi="Times New Roman" w:cs="Times New Roman"/>
          <w:sz w:val="24"/>
          <w:szCs w:val="24"/>
        </w:rPr>
        <w:t xml:space="preserve"> контрол за конституционност проблемът със законодателните пропуски </w:t>
      </w:r>
      <w:r w:rsidR="00894670" w:rsidRPr="00364910">
        <w:rPr>
          <w:rFonts w:ascii="Times New Roman" w:eastAsia="Calibri" w:hAnsi="Times New Roman" w:cs="Times New Roman"/>
          <w:sz w:val="24"/>
          <w:szCs w:val="24"/>
        </w:rPr>
        <w:t>се разглежда</w:t>
      </w:r>
      <w:r w:rsidRPr="007E7617">
        <w:rPr>
          <w:rFonts w:ascii="Times New Roman" w:eastAsia="Calibri" w:hAnsi="Times New Roman" w:cs="Times New Roman"/>
          <w:sz w:val="24"/>
          <w:szCs w:val="24"/>
        </w:rPr>
        <w:t xml:space="preserve"> в доктрината</w:t>
      </w:r>
      <w:r w:rsidR="00894670" w:rsidRPr="00364910">
        <w:rPr>
          <w:rStyle w:val="FootnoteReference"/>
          <w:rFonts w:ascii="Times New Roman" w:eastAsia="Calibri" w:hAnsi="Times New Roman" w:cs="Times New Roman"/>
          <w:sz w:val="24"/>
          <w:szCs w:val="24"/>
        </w:rPr>
        <w:footnoteReference w:id="8"/>
      </w:r>
      <w:r w:rsidRPr="007E7617">
        <w:rPr>
          <w:rFonts w:ascii="Times New Roman" w:eastAsia="Calibri" w:hAnsi="Times New Roman" w:cs="Times New Roman"/>
          <w:sz w:val="24"/>
          <w:szCs w:val="24"/>
        </w:rPr>
        <w:t xml:space="preserve"> (чл.149, ал.1, т.2). В сравнителен план конституционните съдилища го решават по различен начин. Напълно правилно се поддържа, че в случаите на „непълен закон“ същият може да се атакува пред конституционните юрисдикции, като основанието за обявяването му за противоконституционен е неговата непълнота, изразяваща се в </w:t>
      </w:r>
      <w:proofErr w:type="spellStart"/>
      <w:r w:rsidRPr="007E7617">
        <w:rPr>
          <w:rFonts w:ascii="Times New Roman" w:eastAsia="Calibri" w:hAnsi="Times New Roman" w:cs="Times New Roman"/>
          <w:sz w:val="24"/>
          <w:szCs w:val="24"/>
        </w:rPr>
        <w:t>невключване</w:t>
      </w:r>
      <w:proofErr w:type="spellEnd"/>
      <w:r w:rsidRPr="007E7617">
        <w:rPr>
          <w:rFonts w:ascii="Times New Roman" w:eastAsia="Calibri" w:hAnsi="Times New Roman" w:cs="Times New Roman"/>
          <w:sz w:val="24"/>
          <w:szCs w:val="24"/>
        </w:rPr>
        <w:t xml:space="preserve"> на определена материя, имаща принципна уредба в Конституцията  и  нуждаеща  се  детайлиране  в  текущото законодателство</w:t>
      </w:r>
      <w:r w:rsidRPr="007E7617">
        <w:rPr>
          <w:rFonts w:ascii="Times New Roman" w:eastAsia="Calibri" w:hAnsi="Times New Roman" w:cs="Times New Roman"/>
          <w:sz w:val="24"/>
          <w:szCs w:val="24"/>
          <w:vertAlign w:val="superscript"/>
        </w:rPr>
        <w:footnoteReference w:id="9"/>
      </w:r>
      <w:r w:rsidRPr="007E7617">
        <w:rPr>
          <w:rFonts w:ascii="Times New Roman" w:eastAsia="Calibri" w:hAnsi="Times New Roman" w:cs="Times New Roman"/>
          <w:sz w:val="24"/>
          <w:szCs w:val="24"/>
        </w:rPr>
        <w:t xml:space="preserve">.  </w:t>
      </w:r>
      <w:proofErr w:type="spellStart"/>
      <w:r w:rsidRPr="007E7617">
        <w:rPr>
          <w:rFonts w:ascii="Times New Roman" w:eastAsia="Calibri" w:hAnsi="Times New Roman" w:cs="Times New Roman"/>
          <w:sz w:val="24"/>
          <w:szCs w:val="24"/>
        </w:rPr>
        <w:t>Би</w:t>
      </w:r>
      <w:proofErr w:type="spellEnd"/>
      <w:r w:rsidRPr="007E7617">
        <w:rPr>
          <w:rFonts w:ascii="Times New Roman" w:eastAsia="Calibri" w:hAnsi="Times New Roman" w:cs="Times New Roman"/>
          <w:sz w:val="24"/>
          <w:szCs w:val="24"/>
        </w:rPr>
        <w:t xml:space="preserve"> могло да се поддържа, че българският конституционен модел допуска такъв подход, който е и прилаган в решения на Конституционния съд. Проблемът е, че от </w:t>
      </w:r>
      <w:proofErr w:type="spellStart"/>
      <w:r w:rsidRPr="007E7617">
        <w:rPr>
          <w:rFonts w:ascii="Times New Roman" w:eastAsia="Calibri" w:hAnsi="Times New Roman" w:cs="Times New Roman"/>
          <w:sz w:val="24"/>
          <w:szCs w:val="24"/>
        </w:rPr>
        <w:t>материалноправна</w:t>
      </w:r>
      <w:proofErr w:type="spellEnd"/>
      <w:r w:rsidRPr="007E7617">
        <w:rPr>
          <w:rFonts w:ascii="Times New Roman" w:eastAsia="Calibri" w:hAnsi="Times New Roman" w:cs="Times New Roman"/>
          <w:sz w:val="24"/>
          <w:szCs w:val="24"/>
        </w:rPr>
        <w:t xml:space="preserve"> гледна точка с произнасянето по линия на </w:t>
      </w:r>
      <w:proofErr w:type="spellStart"/>
      <w:r w:rsidRPr="007E7617">
        <w:rPr>
          <w:rFonts w:ascii="Times New Roman" w:eastAsia="Calibri" w:hAnsi="Times New Roman" w:cs="Times New Roman"/>
          <w:sz w:val="24"/>
          <w:szCs w:val="24"/>
        </w:rPr>
        <w:t>нормения</w:t>
      </w:r>
      <w:proofErr w:type="spellEnd"/>
      <w:r w:rsidRPr="007E7617">
        <w:rPr>
          <w:rFonts w:ascii="Times New Roman" w:eastAsia="Calibri" w:hAnsi="Times New Roman" w:cs="Times New Roman"/>
          <w:sz w:val="24"/>
          <w:szCs w:val="24"/>
        </w:rPr>
        <w:t xml:space="preserve"> контро</w:t>
      </w:r>
      <w:r w:rsidR="00BC0D81" w:rsidRPr="00364910">
        <w:rPr>
          <w:rFonts w:ascii="Times New Roman" w:eastAsia="Calibri" w:hAnsi="Times New Roman" w:cs="Times New Roman"/>
          <w:sz w:val="24"/>
          <w:szCs w:val="24"/>
        </w:rPr>
        <w:t xml:space="preserve">л, </w:t>
      </w:r>
      <w:r w:rsidRPr="007E7617">
        <w:rPr>
          <w:rFonts w:ascii="Times New Roman" w:eastAsia="Calibri" w:hAnsi="Times New Roman" w:cs="Times New Roman"/>
          <w:sz w:val="24"/>
          <w:szCs w:val="24"/>
        </w:rPr>
        <w:t xml:space="preserve">КС не може да реши въпроса с бездействието на законодателя и </w:t>
      </w:r>
      <w:proofErr w:type="spellStart"/>
      <w:r w:rsidRPr="007E7617">
        <w:rPr>
          <w:rFonts w:ascii="Times New Roman" w:eastAsia="Calibri" w:hAnsi="Times New Roman" w:cs="Times New Roman"/>
          <w:sz w:val="24"/>
          <w:szCs w:val="24"/>
        </w:rPr>
        <w:t>противоконституционото</w:t>
      </w:r>
      <w:proofErr w:type="spellEnd"/>
      <w:r w:rsidRPr="007E7617">
        <w:rPr>
          <w:rFonts w:ascii="Times New Roman" w:eastAsia="Calibri" w:hAnsi="Times New Roman" w:cs="Times New Roman"/>
          <w:sz w:val="24"/>
          <w:szCs w:val="24"/>
        </w:rPr>
        <w:t xml:space="preserve"> положение, включително липсата на регламентация на позитивни действия (</w:t>
      </w:r>
      <w:proofErr w:type="spellStart"/>
      <w:r w:rsidRPr="007E7617">
        <w:rPr>
          <w:rFonts w:ascii="Times New Roman" w:eastAsia="Calibri" w:hAnsi="Times New Roman" w:cs="Times New Roman"/>
          <w:sz w:val="24"/>
          <w:szCs w:val="24"/>
        </w:rPr>
        <w:t>арг</w:t>
      </w:r>
      <w:proofErr w:type="spellEnd"/>
      <w:r w:rsidRPr="007E7617">
        <w:rPr>
          <w:rFonts w:ascii="Times New Roman" w:eastAsia="Calibri" w:hAnsi="Times New Roman" w:cs="Times New Roman"/>
          <w:sz w:val="24"/>
          <w:szCs w:val="24"/>
        </w:rPr>
        <w:t xml:space="preserve">. чл.22, ал.2 от ЗКС). </w:t>
      </w:r>
    </w:p>
    <w:p w:rsidR="006E300F" w:rsidRDefault="007E7617" w:rsidP="006E300F">
      <w:pPr>
        <w:spacing w:after="0" w:line="360" w:lineRule="auto"/>
        <w:ind w:firstLine="709"/>
        <w:jc w:val="both"/>
        <w:rPr>
          <w:rFonts w:ascii="Times New Roman" w:eastAsia="Calibri" w:hAnsi="Times New Roman" w:cs="Times New Roman"/>
          <w:sz w:val="24"/>
          <w:szCs w:val="24"/>
        </w:rPr>
      </w:pPr>
      <w:r w:rsidRPr="007E7617">
        <w:rPr>
          <w:rFonts w:ascii="Times New Roman" w:eastAsia="Calibri" w:hAnsi="Times New Roman" w:cs="Times New Roman"/>
          <w:sz w:val="24"/>
          <w:szCs w:val="24"/>
        </w:rPr>
        <w:t xml:space="preserve">Със сигурност по-рестриктивното средство в част от такива случаи е тълкувателното правомощие на КС (чл. 149, ал.1,т.1), чрез което той би определил (ако поиска) коя конституционна разпоредба се нуждае от развитие в закон, коя вече е развита и къде. </w:t>
      </w:r>
    </w:p>
    <w:p w:rsidR="006E300F" w:rsidRDefault="006E300F" w:rsidP="006E300F">
      <w:pPr>
        <w:spacing w:after="0" w:line="360" w:lineRule="auto"/>
        <w:ind w:firstLine="709"/>
        <w:jc w:val="both"/>
        <w:rPr>
          <w:rFonts w:ascii="Times New Roman" w:eastAsia="Calibri" w:hAnsi="Times New Roman" w:cs="Times New Roman"/>
          <w:sz w:val="24"/>
          <w:szCs w:val="24"/>
        </w:rPr>
      </w:pPr>
    </w:p>
    <w:p w:rsidR="007E7617" w:rsidRPr="007E7617" w:rsidRDefault="007E7617" w:rsidP="006E300F">
      <w:pPr>
        <w:spacing w:after="0" w:line="360" w:lineRule="auto"/>
        <w:ind w:firstLine="709"/>
        <w:jc w:val="both"/>
        <w:rPr>
          <w:rFonts w:ascii="Times New Roman" w:eastAsia="Calibri" w:hAnsi="Times New Roman" w:cs="Times New Roman"/>
          <w:sz w:val="24"/>
          <w:szCs w:val="24"/>
        </w:rPr>
      </w:pPr>
      <w:r w:rsidRPr="007E7617">
        <w:rPr>
          <w:rFonts w:ascii="Times New Roman" w:eastAsia="Calibri" w:hAnsi="Times New Roman" w:cs="Times New Roman"/>
          <w:sz w:val="24"/>
          <w:szCs w:val="24"/>
        </w:rPr>
        <w:lastRenderedPageBreak/>
        <w:t xml:space="preserve">Така напр. с Решение № 3/2004 г. по </w:t>
      </w:r>
      <w:proofErr w:type="spellStart"/>
      <w:r w:rsidRPr="007E7617">
        <w:rPr>
          <w:rFonts w:ascii="Times New Roman" w:eastAsia="Calibri" w:hAnsi="Times New Roman" w:cs="Times New Roman"/>
          <w:sz w:val="24"/>
          <w:szCs w:val="24"/>
        </w:rPr>
        <w:t>конст</w:t>
      </w:r>
      <w:proofErr w:type="spellEnd"/>
      <w:r w:rsidRPr="007E7617">
        <w:rPr>
          <w:rFonts w:ascii="Times New Roman" w:eastAsia="Calibri" w:hAnsi="Times New Roman" w:cs="Times New Roman"/>
          <w:sz w:val="24"/>
          <w:szCs w:val="24"/>
        </w:rPr>
        <w:t>. д. № 3/ 2004 г, КС (</w:t>
      </w:r>
      <w:proofErr w:type="spellStart"/>
      <w:r w:rsidRPr="007E7617">
        <w:rPr>
          <w:rFonts w:ascii="Times New Roman" w:eastAsia="Calibri" w:hAnsi="Times New Roman" w:cs="Times New Roman"/>
          <w:sz w:val="24"/>
          <w:szCs w:val="24"/>
        </w:rPr>
        <w:t>Обн</w:t>
      </w:r>
      <w:proofErr w:type="spellEnd"/>
      <w:r w:rsidRPr="007E7617">
        <w:rPr>
          <w:rFonts w:ascii="Times New Roman" w:eastAsia="Calibri" w:hAnsi="Times New Roman" w:cs="Times New Roman"/>
          <w:sz w:val="24"/>
          <w:szCs w:val="24"/>
        </w:rPr>
        <w:t>., ДВ, бр. 61 от 13 юли 2004 г.) бе категоричен, че промени в Конституцията, разширяващи признаците на равноправие на българските граждани в съответствие с Хартата за основните правата на Европейския съюз могат да бъдат извършени от Народно събрание</w:t>
      </w:r>
      <w:r w:rsidRPr="007E7617">
        <w:rPr>
          <w:rFonts w:ascii="Times New Roman" w:eastAsia="Calibri" w:hAnsi="Times New Roman" w:cs="Times New Roman"/>
          <w:sz w:val="24"/>
          <w:szCs w:val="24"/>
          <w:vertAlign w:val="superscript"/>
        </w:rPr>
        <w:footnoteReference w:id="10"/>
      </w:r>
      <w:r w:rsidRPr="007E7617">
        <w:rPr>
          <w:rFonts w:ascii="Times New Roman" w:eastAsia="Calibri" w:hAnsi="Times New Roman" w:cs="Times New Roman"/>
          <w:sz w:val="24"/>
          <w:szCs w:val="24"/>
        </w:rPr>
        <w:t xml:space="preserve">. </w:t>
      </w:r>
    </w:p>
    <w:p w:rsidR="007E7617" w:rsidRPr="007E7617" w:rsidRDefault="007E7617" w:rsidP="006E300F">
      <w:pPr>
        <w:spacing w:after="0" w:line="360" w:lineRule="auto"/>
        <w:ind w:firstLine="709"/>
        <w:jc w:val="both"/>
        <w:rPr>
          <w:rFonts w:ascii="Times New Roman" w:eastAsia="Calibri" w:hAnsi="Times New Roman" w:cs="Times New Roman"/>
          <w:sz w:val="24"/>
          <w:szCs w:val="24"/>
        </w:rPr>
      </w:pPr>
      <w:r w:rsidRPr="007E7617">
        <w:rPr>
          <w:rFonts w:ascii="Times New Roman" w:eastAsia="Calibri" w:hAnsi="Times New Roman" w:cs="Times New Roman"/>
          <w:sz w:val="24"/>
          <w:szCs w:val="24"/>
        </w:rPr>
        <w:t>В редица свои решения Австрийският конституционен съд обосновава, че когато дадена позитивната мярка е установена на конституционно ниво, включително необходимостта да бъде обезпечена финансово, но същата не е регламентирана в закон, това създава противоконституционно положение. Като противоконституционен се третира и закон, който е трябвало да регламентира конкретни мерки, обезпечаващи равното избирателно право, но не го е сторил</w:t>
      </w:r>
      <w:r w:rsidRPr="007E7617">
        <w:rPr>
          <w:rFonts w:ascii="Times New Roman" w:eastAsia="Calibri" w:hAnsi="Times New Roman" w:cs="Times New Roman"/>
          <w:sz w:val="24"/>
          <w:szCs w:val="24"/>
          <w:vertAlign w:val="superscript"/>
        </w:rPr>
        <w:footnoteReference w:id="11"/>
      </w:r>
      <w:r w:rsidRPr="007E7617">
        <w:rPr>
          <w:rFonts w:ascii="Times New Roman" w:eastAsia="Calibri" w:hAnsi="Times New Roman" w:cs="Times New Roman"/>
          <w:sz w:val="24"/>
          <w:szCs w:val="24"/>
        </w:rPr>
        <w:t>. В няколко други свои решения Австрийският конституционен съд приема, че когато с нов закон се влошава правното положение на адресатите на закона принципът на равенство изисква приемането на преходни разпоредби от страна на законодателя, за запазване на старото положение. Такъв е бил случаят, когато законодателят е отменил разликата в пенсионната възраст за мъжете и жените, което влошило положението на жените</w:t>
      </w:r>
      <w:r w:rsidRPr="007E7617">
        <w:rPr>
          <w:rFonts w:ascii="Times New Roman" w:eastAsia="Calibri" w:hAnsi="Times New Roman" w:cs="Times New Roman"/>
          <w:sz w:val="24"/>
          <w:szCs w:val="24"/>
          <w:vertAlign w:val="superscript"/>
        </w:rPr>
        <w:footnoteReference w:id="12"/>
      </w:r>
      <w:r w:rsidRPr="007E7617">
        <w:rPr>
          <w:rFonts w:ascii="Times New Roman" w:eastAsia="Calibri" w:hAnsi="Times New Roman" w:cs="Times New Roman"/>
          <w:sz w:val="24"/>
          <w:szCs w:val="24"/>
        </w:rPr>
        <w:t xml:space="preserve">. </w:t>
      </w:r>
    </w:p>
    <w:p w:rsidR="006E300F" w:rsidRDefault="007E7617" w:rsidP="006E300F">
      <w:pPr>
        <w:spacing w:after="0" w:line="360" w:lineRule="auto"/>
        <w:ind w:firstLine="709"/>
        <w:jc w:val="both"/>
        <w:rPr>
          <w:rFonts w:ascii="Times New Roman" w:eastAsia="Calibri" w:hAnsi="Times New Roman" w:cs="Times New Roman"/>
          <w:sz w:val="24"/>
          <w:szCs w:val="24"/>
        </w:rPr>
      </w:pPr>
      <w:r w:rsidRPr="007E7617">
        <w:rPr>
          <w:rFonts w:ascii="Times New Roman" w:eastAsia="Calibri" w:hAnsi="Times New Roman" w:cs="Times New Roman"/>
          <w:sz w:val="24"/>
          <w:szCs w:val="24"/>
        </w:rPr>
        <w:t xml:space="preserve">В своята практика КС на България също се е изправял гласно или не пред случаи на законови празнини. Съгласно чл. 45, ал.2 от Закона за здравното осигуряване медицинската помощ, която НЗОК заплаща с изключение на няколко дейности </w:t>
      </w:r>
      <w:r w:rsidRPr="007E7617">
        <w:rPr>
          <w:rFonts w:ascii="Times New Roman" w:eastAsia="Calibri" w:hAnsi="Times New Roman" w:cs="Times New Roman"/>
          <w:i/>
          <w:sz w:val="24"/>
          <w:szCs w:val="24"/>
        </w:rPr>
        <w:t>се определя като пакет, гарантиран от бюджета на НЗОК.</w:t>
      </w:r>
      <w:r w:rsidRPr="007E7617">
        <w:rPr>
          <w:rFonts w:ascii="Times New Roman" w:eastAsia="Calibri" w:hAnsi="Times New Roman" w:cs="Times New Roman"/>
          <w:sz w:val="24"/>
          <w:szCs w:val="24"/>
        </w:rPr>
        <w:t xml:space="preserve"> </w:t>
      </w:r>
      <w:r w:rsidRPr="007E7617">
        <w:rPr>
          <w:rFonts w:ascii="Times New Roman" w:eastAsia="Calibri" w:hAnsi="Times New Roman" w:cs="Times New Roman"/>
          <w:i/>
          <w:sz w:val="24"/>
          <w:szCs w:val="24"/>
        </w:rPr>
        <w:t xml:space="preserve">Пакетът е основен и допълнителен и се определя с наредба на министъра на здравеопазването, като се актуализира веднъж годишно, в срок до 31 октомври на съответната година. </w:t>
      </w:r>
      <w:r w:rsidRPr="007E7617">
        <w:rPr>
          <w:rFonts w:ascii="Times New Roman" w:eastAsia="Calibri" w:hAnsi="Times New Roman" w:cs="Times New Roman"/>
          <w:sz w:val="24"/>
          <w:szCs w:val="24"/>
        </w:rPr>
        <w:t xml:space="preserve">С Решение № 3/2016 г. по </w:t>
      </w:r>
      <w:proofErr w:type="spellStart"/>
      <w:r w:rsidRPr="007E7617">
        <w:rPr>
          <w:rFonts w:ascii="Times New Roman" w:eastAsia="Calibri" w:hAnsi="Times New Roman" w:cs="Times New Roman"/>
          <w:sz w:val="24"/>
          <w:szCs w:val="24"/>
        </w:rPr>
        <w:t>конст</w:t>
      </w:r>
      <w:proofErr w:type="spellEnd"/>
      <w:r w:rsidRPr="007E7617">
        <w:rPr>
          <w:rFonts w:ascii="Times New Roman" w:eastAsia="Calibri" w:hAnsi="Times New Roman" w:cs="Times New Roman"/>
          <w:sz w:val="24"/>
          <w:szCs w:val="24"/>
        </w:rPr>
        <w:t xml:space="preserve">. дело № 6/2015 г. КС обявява разпоредбата за противоконституционна. Според КС </w:t>
      </w:r>
      <w:r w:rsidRPr="007E7617">
        <w:rPr>
          <w:rFonts w:ascii="Times New Roman" w:eastAsia="Calibri" w:hAnsi="Times New Roman" w:cs="Times New Roman"/>
          <w:i/>
          <w:sz w:val="24"/>
          <w:szCs w:val="24"/>
        </w:rPr>
        <w:t>Народното събрание, на което Конституцията възлага уреждането със закон на определени основни обществени отношения, не може да делегира на орган на изпълнителната власт да уреди с подзаконов нормативен акт  обществени отношения, за които на конституционно ниво (чл. 52, ал. 1)  е предвидено да бъдат предмет само на законодателна уредба.</w:t>
      </w:r>
      <w:r w:rsidRPr="007E7617">
        <w:rPr>
          <w:rFonts w:ascii="Times New Roman" w:eastAsia="Calibri" w:hAnsi="Times New Roman" w:cs="Times New Roman"/>
          <w:sz w:val="24"/>
          <w:szCs w:val="24"/>
        </w:rPr>
        <w:t xml:space="preserve"> </w:t>
      </w:r>
    </w:p>
    <w:p w:rsidR="007E7617" w:rsidRPr="007E7617" w:rsidRDefault="007E7617" w:rsidP="006E300F">
      <w:pPr>
        <w:spacing w:after="0" w:line="360" w:lineRule="auto"/>
        <w:ind w:firstLine="709"/>
        <w:jc w:val="both"/>
        <w:rPr>
          <w:rFonts w:ascii="Times New Roman" w:eastAsia="Calibri" w:hAnsi="Times New Roman" w:cs="Times New Roman"/>
          <w:sz w:val="24"/>
          <w:szCs w:val="24"/>
        </w:rPr>
      </w:pPr>
      <w:r w:rsidRPr="007E7617">
        <w:rPr>
          <w:rFonts w:ascii="Times New Roman" w:eastAsia="Calibri" w:hAnsi="Times New Roman" w:cs="Times New Roman"/>
          <w:b/>
          <w:i/>
          <w:sz w:val="24"/>
          <w:szCs w:val="24"/>
        </w:rPr>
        <w:lastRenderedPageBreak/>
        <w:t>Липсата на законова уредба на основни обществени отношения противоречи и на принципа за разделение на властите по чл. 8 от Конституцията</w:t>
      </w:r>
      <w:r w:rsidRPr="007E7617">
        <w:rPr>
          <w:rFonts w:ascii="Times New Roman" w:eastAsia="Calibri" w:hAnsi="Times New Roman" w:cs="Times New Roman"/>
          <w:i/>
          <w:sz w:val="24"/>
          <w:szCs w:val="24"/>
        </w:rPr>
        <w:t xml:space="preserve">, тъй като се възлага на орган на изпълнителната власт да осъществи дейност, която е от компетентността на Народното събрание. Без да са посочени дори и в най-схематичен вид основните същностни характеристики на „основния”  и „допълнителния” пакети, с оспореното изменение на чл. 45, ал. 2 ЗЗО директно се прогласява разделянето на т.нар. пакет на два отделни. Законът не въвежда критериите, въз основа на които осигурените граждани могат да ползват при  необходимост някой от пакетите или преминаването от един пакет в друг. В действителност именно това са условията и редът, по които гражданите могат да получат нужната медицинска помощ, и за тези критерии Конституцията в чл. 52, ал. 1 изрично изисква уредба на ниво закон. </w:t>
      </w:r>
      <w:r w:rsidRPr="007E7617">
        <w:rPr>
          <w:rFonts w:ascii="Times New Roman" w:eastAsia="Calibri" w:hAnsi="Times New Roman" w:cs="Times New Roman"/>
          <w:b/>
          <w:i/>
          <w:sz w:val="24"/>
          <w:szCs w:val="24"/>
        </w:rPr>
        <w:t>Законодателната празнота не може да бъде запълнена от подзаконов нормативен акт, стратегия или концепция.</w:t>
      </w:r>
      <w:r w:rsidRPr="007E7617">
        <w:rPr>
          <w:rFonts w:ascii="Times New Roman" w:eastAsia="Calibri" w:hAnsi="Times New Roman" w:cs="Times New Roman"/>
          <w:i/>
          <w:sz w:val="24"/>
          <w:szCs w:val="24"/>
        </w:rPr>
        <w:t xml:space="preserve"> Приетото законодателно решение за директното възлагане на подзаконова </w:t>
      </w:r>
      <w:proofErr w:type="spellStart"/>
      <w:r w:rsidRPr="007E7617">
        <w:rPr>
          <w:rFonts w:ascii="Times New Roman" w:eastAsia="Calibri" w:hAnsi="Times New Roman" w:cs="Times New Roman"/>
          <w:i/>
          <w:sz w:val="24"/>
          <w:szCs w:val="24"/>
        </w:rPr>
        <w:t>нормотворческа</w:t>
      </w:r>
      <w:proofErr w:type="spellEnd"/>
      <w:r w:rsidRPr="007E7617">
        <w:rPr>
          <w:rFonts w:ascii="Times New Roman" w:eastAsia="Calibri" w:hAnsi="Times New Roman" w:cs="Times New Roman"/>
          <w:i/>
          <w:sz w:val="24"/>
          <w:szCs w:val="24"/>
        </w:rPr>
        <w:t xml:space="preserve"> компетентност на министъра на здравеопазването относно материя, която подлежи на регламентация единствено със закон, не удовлетворява конституционните изисквания на чл. 8 и чл. 52, ал. 1 от Конституцията и на тези основания следва да бъде об</w:t>
      </w:r>
      <w:r w:rsidR="006E300F">
        <w:rPr>
          <w:rFonts w:ascii="Times New Roman" w:eastAsia="Calibri" w:hAnsi="Times New Roman" w:cs="Times New Roman"/>
          <w:i/>
          <w:sz w:val="24"/>
          <w:szCs w:val="24"/>
        </w:rPr>
        <w:t xml:space="preserve">явена за противоконституционна. </w:t>
      </w:r>
      <w:r w:rsidRPr="007E7617">
        <w:rPr>
          <w:rFonts w:ascii="Times New Roman" w:eastAsia="Calibri" w:hAnsi="Times New Roman" w:cs="Times New Roman"/>
          <w:sz w:val="24"/>
          <w:szCs w:val="24"/>
        </w:rPr>
        <w:t xml:space="preserve">Действителност основният аргумент за противоконституционност на разпоредбата е обстоятелството, че критериите за разделяне на двата медицински пакета дейности липсват в Закона за здравното осигуряване. Дали същото е </w:t>
      </w:r>
      <w:r w:rsidRPr="007E7617">
        <w:rPr>
          <w:rFonts w:ascii="Times New Roman" w:eastAsia="Calibri" w:hAnsi="Times New Roman" w:cs="Times New Roman"/>
          <w:i/>
          <w:sz w:val="24"/>
          <w:szCs w:val="24"/>
        </w:rPr>
        <w:t>празнота</w:t>
      </w:r>
      <w:r w:rsidRPr="007E7617">
        <w:rPr>
          <w:rFonts w:ascii="Times New Roman" w:eastAsia="Calibri" w:hAnsi="Times New Roman" w:cs="Times New Roman"/>
          <w:sz w:val="24"/>
          <w:szCs w:val="24"/>
        </w:rPr>
        <w:t xml:space="preserve">, </w:t>
      </w:r>
      <w:r w:rsidRPr="007E7617">
        <w:rPr>
          <w:rFonts w:ascii="Times New Roman" w:eastAsia="Calibri" w:hAnsi="Times New Roman" w:cs="Times New Roman"/>
          <w:i/>
          <w:sz w:val="24"/>
          <w:szCs w:val="24"/>
        </w:rPr>
        <w:t xml:space="preserve">неяснота </w:t>
      </w:r>
      <w:r w:rsidRPr="007E7617">
        <w:rPr>
          <w:rFonts w:ascii="Times New Roman" w:eastAsia="Calibri" w:hAnsi="Times New Roman" w:cs="Times New Roman"/>
          <w:sz w:val="24"/>
          <w:szCs w:val="24"/>
        </w:rPr>
        <w:t>или и двете е теоретичен въпрос. Излиза, че проблемът със законодателните празнини може да се открои и по отношение на недвусмислени конституционни разпоредби, които изискват законова регламентация, но тя липсва. В случая дали обсъжданата разпоредба би противоречала на принципа на неравно третиране (чл.6, ал.2), като поставя една група пациенти в неравностойно положение спрямо други по отношение достъпа им до медицинска помощ е по-скоро недопустим за разглеждане въпрос, доколкото в спорната разпоредба мислими критерии за преценка просто липсват. От друга страна същото е достатъчно основание да бъде прието</w:t>
      </w:r>
      <w:r w:rsidR="00BC0D81" w:rsidRPr="00364910">
        <w:rPr>
          <w:rFonts w:ascii="Times New Roman" w:eastAsia="Calibri" w:hAnsi="Times New Roman" w:cs="Times New Roman"/>
          <w:sz w:val="24"/>
          <w:szCs w:val="24"/>
        </w:rPr>
        <w:t>, че законовата разпоредба води до произвол, който противор</w:t>
      </w:r>
      <w:r w:rsidR="004E5728" w:rsidRPr="00364910">
        <w:rPr>
          <w:rFonts w:ascii="Times New Roman" w:eastAsia="Calibri" w:hAnsi="Times New Roman" w:cs="Times New Roman"/>
          <w:sz w:val="24"/>
          <w:szCs w:val="24"/>
        </w:rPr>
        <w:t>ечи на принципа на равенството.</w:t>
      </w:r>
    </w:p>
    <w:p w:rsidR="006E300F" w:rsidRDefault="007E7617" w:rsidP="006E300F">
      <w:pPr>
        <w:spacing w:after="0" w:line="360" w:lineRule="auto"/>
        <w:ind w:firstLine="709"/>
        <w:jc w:val="both"/>
        <w:rPr>
          <w:rFonts w:ascii="Times New Roman" w:eastAsia="Calibri" w:hAnsi="Times New Roman" w:cs="Times New Roman"/>
          <w:sz w:val="24"/>
          <w:szCs w:val="24"/>
        </w:rPr>
      </w:pPr>
      <w:r w:rsidRPr="007E7617">
        <w:rPr>
          <w:rFonts w:ascii="Times New Roman" w:eastAsia="Calibri" w:hAnsi="Times New Roman" w:cs="Times New Roman"/>
          <w:sz w:val="24"/>
          <w:szCs w:val="24"/>
        </w:rPr>
        <w:t xml:space="preserve">В Решение на КС № 12/2014 г. по </w:t>
      </w:r>
      <w:proofErr w:type="spellStart"/>
      <w:r w:rsidRPr="007E7617">
        <w:rPr>
          <w:rFonts w:ascii="Times New Roman" w:eastAsia="Calibri" w:hAnsi="Times New Roman" w:cs="Times New Roman"/>
          <w:sz w:val="24"/>
          <w:szCs w:val="24"/>
        </w:rPr>
        <w:t>к.д</w:t>
      </w:r>
      <w:proofErr w:type="spellEnd"/>
      <w:r w:rsidRPr="007E7617">
        <w:rPr>
          <w:rFonts w:ascii="Times New Roman" w:eastAsia="Calibri" w:hAnsi="Times New Roman" w:cs="Times New Roman"/>
          <w:sz w:val="24"/>
          <w:szCs w:val="24"/>
        </w:rPr>
        <w:t>. № 10/2014 г. КС отхвърля искане на омбудсмана за обявя</w:t>
      </w:r>
      <w:r w:rsidR="004E5728" w:rsidRPr="00364910">
        <w:rPr>
          <w:rFonts w:ascii="Times New Roman" w:eastAsia="Calibri" w:hAnsi="Times New Roman" w:cs="Times New Roman"/>
          <w:sz w:val="24"/>
          <w:szCs w:val="24"/>
        </w:rPr>
        <w:t>в</w:t>
      </w:r>
      <w:r w:rsidRPr="007E7617">
        <w:rPr>
          <w:rFonts w:ascii="Times New Roman" w:eastAsia="Calibri" w:hAnsi="Times New Roman" w:cs="Times New Roman"/>
          <w:sz w:val="24"/>
          <w:szCs w:val="24"/>
        </w:rPr>
        <w:t xml:space="preserve">ане на </w:t>
      </w:r>
      <w:proofErr w:type="spellStart"/>
      <w:r w:rsidRPr="007E7617">
        <w:rPr>
          <w:rFonts w:ascii="Times New Roman" w:eastAsia="Calibri" w:hAnsi="Times New Roman" w:cs="Times New Roman"/>
          <w:sz w:val="24"/>
          <w:szCs w:val="24"/>
        </w:rPr>
        <w:t>противоконституцинност</w:t>
      </w:r>
      <w:proofErr w:type="spellEnd"/>
      <w:r w:rsidRPr="007E7617">
        <w:rPr>
          <w:rFonts w:ascii="Times New Roman" w:eastAsia="Calibri" w:hAnsi="Times New Roman" w:cs="Times New Roman"/>
          <w:sz w:val="24"/>
          <w:szCs w:val="24"/>
        </w:rPr>
        <w:t xml:space="preserve"> на разпоредбите на чл. 5, ал. 1 и чл. 5, ал. 3 от Закона и лицата и семейството с аргумент, че обявяването на тези текстове за противоконституционни би довело до съществена празнота в законодателство. </w:t>
      </w:r>
      <w:r w:rsidR="006E300F">
        <w:rPr>
          <w:rFonts w:ascii="Times New Roman" w:eastAsia="Calibri" w:hAnsi="Times New Roman" w:cs="Times New Roman"/>
          <w:sz w:val="24"/>
          <w:szCs w:val="24"/>
        </w:rPr>
        <w:t xml:space="preserve"> </w:t>
      </w:r>
    </w:p>
    <w:p w:rsidR="007E7617" w:rsidRPr="007E7617" w:rsidRDefault="007E7617" w:rsidP="006E300F">
      <w:pPr>
        <w:spacing w:after="0" w:line="360" w:lineRule="auto"/>
        <w:ind w:firstLine="709"/>
        <w:jc w:val="both"/>
        <w:rPr>
          <w:rFonts w:ascii="Times New Roman" w:eastAsia="Calibri" w:hAnsi="Times New Roman" w:cs="Times New Roman"/>
          <w:sz w:val="24"/>
          <w:szCs w:val="24"/>
        </w:rPr>
      </w:pPr>
      <w:r w:rsidRPr="007E7617">
        <w:rPr>
          <w:rFonts w:ascii="Times New Roman" w:eastAsia="Calibri" w:hAnsi="Times New Roman" w:cs="Times New Roman"/>
          <w:sz w:val="24"/>
          <w:szCs w:val="24"/>
        </w:rPr>
        <w:lastRenderedPageBreak/>
        <w:t xml:space="preserve">Но в същото решение Конституционният съд подчертава необходимостта от сериозни законодателни промени с оглед на прилагането на  чл. 12 от КПХУ. Според Съда </w:t>
      </w:r>
      <w:r w:rsidRPr="007E7617">
        <w:rPr>
          <w:rFonts w:ascii="Times New Roman" w:eastAsia="Calibri" w:hAnsi="Times New Roman" w:cs="Times New Roman"/>
          <w:i/>
          <w:sz w:val="24"/>
          <w:szCs w:val="24"/>
        </w:rPr>
        <w:t xml:space="preserve">привеждането на законодателството в съответствие с Конвенцията за правата на хората с увреждания не може да се постигне с </w:t>
      </w:r>
      <w:proofErr w:type="spellStart"/>
      <w:r w:rsidRPr="007E7617">
        <w:rPr>
          <w:rFonts w:ascii="Times New Roman" w:eastAsia="Calibri" w:hAnsi="Times New Roman" w:cs="Times New Roman"/>
          <w:i/>
          <w:sz w:val="24"/>
          <w:szCs w:val="24"/>
        </w:rPr>
        <w:t>неприлагането</w:t>
      </w:r>
      <w:proofErr w:type="spellEnd"/>
      <w:r w:rsidRPr="007E7617">
        <w:rPr>
          <w:rFonts w:ascii="Times New Roman" w:eastAsia="Calibri" w:hAnsi="Times New Roman" w:cs="Times New Roman"/>
          <w:i/>
          <w:sz w:val="24"/>
          <w:szCs w:val="24"/>
        </w:rPr>
        <w:t xml:space="preserve"> на въпросните разпоредби. Защитата на правата на хората с психически увреждания е въпрос от компетентността на Народното събрание, което трябва да приеме съответното законодателство за режима на недееспособността. Обявяването на оспорените разпоредби от ЗЛС за противоконституционни не само няма да реши нито един проблем, свързан с правата на недееспособните, но и ще породи съществена празнота в правния режим на тези лица, ще доведе до отмяна на специалните защити, които законодателството предоставя на недееспособните лица в изпълнение на Конституцията и ще обезсмисли института на поставянето под пълно запрещение</w:t>
      </w:r>
      <w:r w:rsidRPr="007E7617">
        <w:rPr>
          <w:rFonts w:ascii="Times New Roman" w:eastAsia="Calibri" w:hAnsi="Times New Roman" w:cs="Times New Roman"/>
          <w:i/>
          <w:sz w:val="24"/>
          <w:szCs w:val="24"/>
          <w:vertAlign w:val="superscript"/>
        </w:rPr>
        <w:footnoteReference w:id="13"/>
      </w:r>
      <w:r w:rsidRPr="007E7617">
        <w:rPr>
          <w:rFonts w:ascii="Times New Roman" w:eastAsia="Calibri" w:hAnsi="Times New Roman" w:cs="Times New Roman"/>
          <w:i/>
          <w:sz w:val="24"/>
          <w:szCs w:val="24"/>
        </w:rPr>
        <w:t xml:space="preserve">. </w:t>
      </w:r>
      <w:r w:rsidRPr="007E7617">
        <w:rPr>
          <w:rFonts w:ascii="Times New Roman" w:eastAsia="Calibri" w:hAnsi="Times New Roman" w:cs="Times New Roman"/>
          <w:sz w:val="24"/>
          <w:szCs w:val="24"/>
        </w:rPr>
        <w:t xml:space="preserve">Отново се поставя въпросът дали в случая КС е сезиран да се произнесе по законова празнина или същата би могла да бъде последица от произнасянето на КС. </w:t>
      </w:r>
    </w:p>
    <w:p w:rsidR="006E300F" w:rsidRDefault="004E5728" w:rsidP="006E300F">
      <w:pPr>
        <w:spacing w:after="0" w:line="360" w:lineRule="auto"/>
        <w:ind w:firstLine="709"/>
        <w:jc w:val="both"/>
        <w:rPr>
          <w:rFonts w:ascii="Times New Roman" w:eastAsia="Calibri" w:hAnsi="Times New Roman" w:cs="Times New Roman"/>
          <w:sz w:val="24"/>
          <w:szCs w:val="24"/>
        </w:rPr>
      </w:pPr>
      <w:r w:rsidRPr="00364910">
        <w:rPr>
          <w:rFonts w:ascii="Times New Roman" w:eastAsia="Calibri" w:hAnsi="Times New Roman" w:cs="Times New Roman"/>
          <w:sz w:val="24"/>
          <w:szCs w:val="24"/>
        </w:rPr>
        <w:t xml:space="preserve">Като пример от друг мащаб, който обаче повдига фактическия въпрос за санкционирането на нормативните празнини, може да се даде казус, пред който се </w:t>
      </w:r>
      <w:r w:rsidR="007E7617" w:rsidRPr="007E7617">
        <w:rPr>
          <w:rFonts w:ascii="Times New Roman" w:eastAsia="Calibri" w:hAnsi="Times New Roman" w:cs="Times New Roman"/>
          <w:sz w:val="24"/>
          <w:szCs w:val="24"/>
        </w:rPr>
        <w:t>натъква Комисията за защита от дискриминация. В свое решение по преписка № 83/2012 г. 5-членен заседателен състав на КЗД макар и да не установява нарушение в подзаконов нормативен акт, регламентиращ условията за предоставянето на социална услуга на лица с увреждания, открива непълнота от гледна точка на осигуряване на помощ на хората с най-тежките увреждания</w:t>
      </w:r>
      <w:r w:rsidRPr="00364910">
        <w:rPr>
          <w:rStyle w:val="FootnoteReference"/>
          <w:rFonts w:ascii="Times New Roman" w:eastAsia="Calibri" w:hAnsi="Times New Roman" w:cs="Times New Roman"/>
          <w:sz w:val="24"/>
          <w:szCs w:val="24"/>
        </w:rPr>
        <w:footnoteReference w:id="14"/>
      </w:r>
      <w:r w:rsidR="007E7617" w:rsidRPr="007E7617">
        <w:rPr>
          <w:rFonts w:ascii="Times New Roman" w:eastAsia="Calibri" w:hAnsi="Times New Roman" w:cs="Times New Roman"/>
          <w:sz w:val="24"/>
          <w:szCs w:val="24"/>
        </w:rPr>
        <w:t xml:space="preserve">. </w:t>
      </w:r>
    </w:p>
    <w:p w:rsidR="006E300F" w:rsidRDefault="006E300F" w:rsidP="006E300F">
      <w:pPr>
        <w:spacing w:after="0" w:line="360" w:lineRule="auto"/>
        <w:ind w:firstLine="709"/>
        <w:jc w:val="both"/>
        <w:rPr>
          <w:rFonts w:ascii="Times New Roman" w:eastAsia="Calibri" w:hAnsi="Times New Roman" w:cs="Times New Roman"/>
          <w:sz w:val="24"/>
          <w:szCs w:val="24"/>
        </w:rPr>
      </w:pPr>
    </w:p>
    <w:p w:rsidR="007E7617" w:rsidRDefault="007E7617" w:rsidP="006E300F">
      <w:pPr>
        <w:spacing w:after="0" w:line="360" w:lineRule="auto"/>
        <w:ind w:firstLine="709"/>
        <w:jc w:val="both"/>
        <w:rPr>
          <w:rFonts w:ascii="Times New Roman" w:eastAsia="Calibri" w:hAnsi="Times New Roman" w:cs="Times New Roman"/>
          <w:i/>
          <w:sz w:val="24"/>
          <w:szCs w:val="24"/>
        </w:rPr>
      </w:pPr>
      <w:r w:rsidRPr="007E7617">
        <w:rPr>
          <w:rFonts w:ascii="Times New Roman" w:eastAsia="Calibri" w:hAnsi="Times New Roman" w:cs="Times New Roman"/>
          <w:sz w:val="24"/>
          <w:szCs w:val="24"/>
        </w:rPr>
        <w:lastRenderedPageBreak/>
        <w:t xml:space="preserve">„Активното включване“ като основна цел на услугата на практика лишава от достъп до нея онази част от лицата с увреждания над 100% , които не могат да посещават обучителни институции, нито пък са във възможност да си намерят работа, за да получат необходимия брой точки. </w:t>
      </w:r>
      <w:r w:rsidRPr="007E7617">
        <w:rPr>
          <w:rFonts w:ascii="Times New Roman" w:eastAsia="Calibri" w:hAnsi="Times New Roman" w:cs="Times New Roman"/>
          <w:i/>
          <w:sz w:val="24"/>
          <w:szCs w:val="24"/>
        </w:rPr>
        <w:t xml:space="preserve">Като се има предвид чл. 11 от </w:t>
      </w:r>
      <w:proofErr w:type="spellStart"/>
      <w:r w:rsidRPr="007E7617">
        <w:rPr>
          <w:rFonts w:ascii="Times New Roman" w:eastAsia="Calibri" w:hAnsi="Times New Roman" w:cs="Times New Roman"/>
          <w:i/>
          <w:sz w:val="24"/>
          <w:szCs w:val="24"/>
        </w:rPr>
        <w:t>ЗЗДискр</w:t>
      </w:r>
      <w:proofErr w:type="spellEnd"/>
      <w:r w:rsidRPr="007E7617">
        <w:rPr>
          <w:rFonts w:ascii="Times New Roman" w:eastAsia="Calibri" w:hAnsi="Times New Roman" w:cs="Times New Roman"/>
          <w:i/>
          <w:sz w:val="24"/>
          <w:szCs w:val="24"/>
        </w:rPr>
        <w:t xml:space="preserve">. органите на държавна власт и органите на местното самоуправление дължат специалните мерки в полза на лица или групи лица в неравностойно положение на основата на признаците по чл. 4 от </w:t>
      </w:r>
      <w:proofErr w:type="spellStart"/>
      <w:r w:rsidRPr="007E7617">
        <w:rPr>
          <w:rFonts w:ascii="Times New Roman" w:eastAsia="Calibri" w:hAnsi="Times New Roman" w:cs="Times New Roman"/>
          <w:i/>
          <w:sz w:val="24"/>
          <w:szCs w:val="24"/>
        </w:rPr>
        <w:t>ЗЗДискр</w:t>
      </w:r>
      <w:proofErr w:type="spellEnd"/>
      <w:r w:rsidRPr="007E7617">
        <w:rPr>
          <w:rFonts w:ascii="Times New Roman" w:eastAsia="Calibri" w:hAnsi="Times New Roman" w:cs="Times New Roman"/>
          <w:i/>
          <w:sz w:val="24"/>
          <w:szCs w:val="24"/>
        </w:rPr>
        <w:t xml:space="preserve">. с цел изравняване на възможностите им, доколкото и докато тези мерки са необходими. В тази връзката позитивната дискриминация спрямо тези лица е задължение, изпълнението на което следва да се докаже от съответния орган…В този смисъл, </w:t>
      </w:r>
      <w:proofErr w:type="spellStart"/>
      <w:r w:rsidRPr="007E7617">
        <w:rPr>
          <w:rFonts w:ascii="Times New Roman" w:eastAsia="Calibri" w:hAnsi="Times New Roman" w:cs="Times New Roman"/>
          <w:i/>
          <w:sz w:val="24"/>
          <w:szCs w:val="24"/>
        </w:rPr>
        <w:t>несъздаването</w:t>
      </w:r>
      <w:proofErr w:type="spellEnd"/>
      <w:r w:rsidRPr="007E7617">
        <w:rPr>
          <w:rFonts w:ascii="Times New Roman" w:eastAsia="Calibri" w:hAnsi="Times New Roman" w:cs="Times New Roman"/>
          <w:i/>
          <w:sz w:val="24"/>
          <w:szCs w:val="24"/>
        </w:rPr>
        <w:t xml:space="preserve"> на отделна социална услуга и критерии за предоставянето й на лица с трайно намалена работоспособност, които предвид здравословното си състояние не могат да бъдат трудово или учебно ангажирани е нарушение на чл. 10 и 11 от </w:t>
      </w:r>
      <w:proofErr w:type="spellStart"/>
      <w:r w:rsidRPr="007E7617">
        <w:rPr>
          <w:rFonts w:ascii="Times New Roman" w:eastAsia="Calibri" w:hAnsi="Times New Roman" w:cs="Times New Roman"/>
          <w:i/>
          <w:sz w:val="24"/>
          <w:szCs w:val="24"/>
        </w:rPr>
        <w:t>ЗЗДискр</w:t>
      </w:r>
      <w:proofErr w:type="spellEnd"/>
      <w:r w:rsidRPr="007E7617">
        <w:rPr>
          <w:rFonts w:ascii="Times New Roman" w:eastAsia="Calibri" w:hAnsi="Times New Roman" w:cs="Times New Roman"/>
          <w:i/>
          <w:sz w:val="24"/>
          <w:szCs w:val="24"/>
        </w:rPr>
        <w:t>.</w:t>
      </w:r>
    </w:p>
    <w:p w:rsidR="006E300F" w:rsidRPr="007E7617" w:rsidRDefault="006E300F" w:rsidP="006E300F">
      <w:pPr>
        <w:spacing w:after="0" w:line="360" w:lineRule="auto"/>
        <w:ind w:firstLine="709"/>
        <w:jc w:val="both"/>
        <w:rPr>
          <w:rFonts w:ascii="Times New Roman" w:eastAsia="Calibri" w:hAnsi="Times New Roman" w:cs="Times New Roman"/>
          <w:sz w:val="24"/>
          <w:szCs w:val="24"/>
        </w:rPr>
      </w:pPr>
    </w:p>
    <w:p w:rsidR="0021493B" w:rsidRPr="00364910" w:rsidRDefault="007E7617" w:rsidP="006E300F">
      <w:pPr>
        <w:spacing w:after="0" w:line="360" w:lineRule="auto"/>
        <w:ind w:firstLine="708"/>
        <w:jc w:val="both"/>
        <w:rPr>
          <w:rFonts w:ascii="Times New Roman" w:hAnsi="Times New Roman" w:cs="Times New Roman"/>
          <w:sz w:val="24"/>
          <w:szCs w:val="24"/>
        </w:rPr>
      </w:pPr>
      <w:r w:rsidRPr="006E300F">
        <w:rPr>
          <w:rFonts w:ascii="Times New Roman" w:eastAsia="Calibri" w:hAnsi="Times New Roman" w:cs="Times New Roman"/>
          <w:b/>
          <w:sz w:val="24"/>
          <w:szCs w:val="24"/>
        </w:rPr>
        <w:t>Изводът</w:t>
      </w:r>
      <w:r w:rsidRPr="00364910">
        <w:rPr>
          <w:rFonts w:ascii="Times New Roman" w:eastAsia="Calibri" w:hAnsi="Times New Roman" w:cs="Times New Roman"/>
          <w:sz w:val="24"/>
          <w:szCs w:val="24"/>
        </w:rPr>
        <w:t>, който би могъл да се направи е, че бездействието на законодателя в много случаи нарушава принципа на равенство и засяга конституционно гарантирани права. В голямата си част контролът върху това бездействие е пряко свързан с опазването на Конституцията. Квалифицирането на това бездействие като „</w:t>
      </w:r>
      <w:proofErr w:type="spellStart"/>
      <w:r w:rsidRPr="00364910">
        <w:rPr>
          <w:rFonts w:ascii="Times New Roman" w:eastAsia="Calibri" w:hAnsi="Times New Roman" w:cs="Times New Roman"/>
          <w:sz w:val="24"/>
          <w:szCs w:val="24"/>
        </w:rPr>
        <w:t>неприлагане</w:t>
      </w:r>
      <w:proofErr w:type="spellEnd"/>
      <w:r w:rsidRPr="00364910">
        <w:rPr>
          <w:rFonts w:ascii="Times New Roman" w:eastAsia="Calibri" w:hAnsi="Times New Roman" w:cs="Times New Roman"/>
          <w:sz w:val="24"/>
          <w:szCs w:val="24"/>
        </w:rPr>
        <w:t xml:space="preserve"> на позитивна мярка в широк смисъл“ или като „дискриминация“ е без особени практически последици. Очевидно е, че конституционният процес би могъл да въздейства върху подобни празнини, но също така е ясно, че голяма част от „жертвите на тези празнини“ </w:t>
      </w:r>
      <w:r w:rsidR="00CC0CCA" w:rsidRPr="00364910">
        <w:rPr>
          <w:rFonts w:ascii="Times New Roman" w:eastAsia="Calibri" w:hAnsi="Times New Roman" w:cs="Times New Roman"/>
          <w:sz w:val="24"/>
          <w:szCs w:val="24"/>
        </w:rPr>
        <w:t xml:space="preserve">- </w:t>
      </w:r>
      <w:r w:rsidRPr="00364910">
        <w:rPr>
          <w:rFonts w:ascii="Times New Roman" w:eastAsia="Calibri" w:hAnsi="Times New Roman" w:cs="Times New Roman"/>
          <w:sz w:val="24"/>
          <w:szCs w:val="24"/>
        </w:rPr>
        <w:t>индивиди, чиито права са нарушени нямат пряк достъп до този процес (</w:t>
      </w:r>
      <w:proofErr w:type="spellStart"/>
      <w:r w:rsidRPr="00364910">
        <w:rPr>
          <w:rFonts w:ascii="Times New Roman" w:eastAsia="Calibri" w:hAnsi="Times New Roman" w:cs="Times New Roman"/>
          <w:sz w:val="24"/>
          <w:szCs w:val="24"/>
        </w:rPr>
        <w:t>арг</w:t>
      </w:r>
      <w:proofErr w:type="spellEnd"/>
      <w:r w:rsidRPr="00364910">
        <w:rPr>
          <w:rFonts w:ascii="Times New Roman" w:eastAsia="Calibri" w:hAnsi="Times New Roman" w:cs="Times New Roman"/>
          <w:sz w:val="24"/>
          <w:szCs w:val="24"/>
        </w:rPr>
        <w:t>. чл.150, ал.1-4 от КРБ). Колкото до позитивните действия, законодателната им регламентация е само първата стъпка, която би имала значение за тяхната ефективност</w:t>
      </w:r>
    </w:p>
    <w:sectPr w:rsidR="0021493B" w:rsidRPr="0036491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EFC" w:rsidRDefault="005E1EFC" w:rsidP="007E7617">
      <w:pPr>
        <w:spacing w:after="0" w:line="240" w:lineRule="auto"/>
      </w:pPr>
      <w:r>
        <w:separator/>
      </w:r>
    </w:p>
  </w:endnote>
  <w:endnote w:type="continuationSeparator" w:id="0">
    <w:p w:rsidR="005E1EFC" w:rsidRDefault="005E1EFC" w:rsidP="007E7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84" w:rsidRDefault="00FE74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091183"/>
      <w:docPartObj>
        <w:docPartGallery w:val="Page Numbers (Bottom of Page)"/>
        <w:docPartUnique/>
      </w:docPartObj>
    </w:sdtPr>
    <w:sdtEndPr>
      <w:rPr>
        <w:noProof/>
      </w:rPr>
    </w:sdtEndPr>
    <w:sdtContent>
      <w:p w:rsidR="006E300F" w:rsidRDefault="006E300F">
        <w:pPr>
          <w:pStyle w:val="Footer"/>
          <w:jc w:val="right"/>
        </w:pPr>
        <w:r>
          <w:fldChar w:fldCharType="begin"/>
        </w:r>
        <w:r>
          <w:instrText xml:space="preserve"> PAGE   \* MERGEFORMAT </w:instrText>
        </w:r>
        <w:r>
          <w:fldChar w:fldCharType="separate"/>
        </w:r>
        <w:r w:rsidR="00FE7484">
          <w:rPr>
            <w:noProof/>
          </w:rPr>
          <w:t>5</w:t>
        </w:r>
        <w:r>
          <w:rPr>
            <w:noProof/>
          </w:rPr>
          <w:fldChar w:fldCharType="end"/>
        </w:r>
      </w:p>
    </w:sdtContent>
  </w:sdt>
  <w:p w:rsidR="006E300F" w:rsidRDefault="006E30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84" w:rsidRDefault="00FE74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EFC" w:rsidRDefault="005E1EFC" w:rsidP="007E7617">
      <w:pPr>
        <w:spacing w:after="0" w:line="240" w:lineRule="auto"/>
      </w:pPr>
      <w:r>
        <w:separator/>
      </w:r>
    </w:p>
  </w:footnote>
  <w:footnote w:type="continuationSeparator" w:id="0">
    <w:p w:rsidR="005E1EFC" w:rsidRDefault="005E1EFC" w:rsidP="007E7617">
      <w:pPr>
        <w:spacing w:after="0" w:line="240" w:lineRule="auto"/>
      </w:pPr>
      <w:r>
        <w:continuationSeparator/>
      </w:r>
    </w:p>
  </w:footnote>
  <w:footnote w:id="1">
    <w:p w:rsidR="006E300F" w:rsidRDefault="006E300F">
      <w:pPr>
        <w:pStyle w:val="FootnoteText"/>
      </w:pPr>
      <w:r>
        <w:rPr>
          <w:rStyle w:val="FootnoteReference"/>
        </w:rPr>
        <w:footnoteRef/>
      </w:r>
      <w:r>
        <w:t xml:space="preserve"> </w:t>
      </w:r>
      <w:r w:rsidRPr="006E300F">
        <w:t xml:space="preserve">Докторант по Конституционно право в Института за държавата и правото </w:t>
      </w:r>
      <w:r>
        <w:t>при</w:t>
      </w:r>
      <w:r w:rsidRPr="006E300F">
        <w:t xml:space="preserve"> БАН</w:t>
      </w:r>
      <w:r>
        <w:t>.</w:t>
      </w:r>
    </w:p>
  </w:footnote>
  <w:footnote w:id="2">
    <w:p w:rsidR="007E7617" w:rsidRPr="005E6551" w:rsidRDefault="007E7617" w:rsidP="007E7617">
      <w:pPr>
        <w:pStyle w:val="FootnoteText"/>
        <w:jc w:val="both"/>
      </w:pPr>
      <w:r w:rsidRPr="005E6551">
        <w:rPr>
          <w:rStyle w:val="FootnoteReference"/>
        </w:rPr>
        <w:footnoteRef/>
      </w:r>
      <w:r w:rsidRPr="005E6551">
        <w:t xml:space="preserve"> </w:t>
      </w:r>
      <w:r w:rsidRPr="005E6551">
        <w:t xml:space="preserve">Друмева, Ем. Конституционно право, </w:t>
      </w:r>
      <w:proofErr w:type="spellStart"/>
      <w:r w:rsidRPr="005E6551">
        <w:t>Сиела</w:t>
      </w:r>
      <w:proofErr w:type="spellEnd"/>
      <w:r w:rsidRPr="005E6551">
        <w:t>, 2013, 605 с., ISBN 978-954-28-1372-9</w:t>
      </w:r>
    </w:p>
  </w:footnote>
  <w:footnote w:id="3">
    <w:p w:rsidR="007E7617" w:rsidRPr="005E6551" w:rsidRDefault="007E7617" w:rsidP="007E7617">
      <w:pPr>
        <w:pStyle w:val="FootnoteText"/>
        <w:jc w:val="both"/>
      </w:pPr>
      <w:r w:rsidRPr="005E6551">
        <w:rPr>
          <w:rStyle w:val="FootnoteReference"/>
        </w:rPr>
        <w:footnoteRef/>
      </w:r>
      <w:r w:rsidRPr="005E6551">
        <w:t xml:space="preserve"> </w:t>
      </w:r>
      <w:r w:rsidR="001C3E68" w:rsidRPr="001C3E68">
        <w:t xml:space="preserve">Каменова, </w:t>
      </w:r>
      <w:proofErr w:type="spellStart"/>
      <w:r w:rsidR="001C3E68" w:rsidRPr="001C3E68">
        <w:t>Цв</w:t>
      </w:r>
      <w:proofErr w:type="spellEnd"/>
      <w:r w:rsidR="001C3E68" w:rsidRPr="001C3E68">
        <w:t xml:space="preserve">., Друмева Ем., Илиева, Ир. Европейско и национално </w:t>
      </w:r>
      <w:proofErr w:type="spellStart"/>
      <w:r w:rsidR="001C3E68" w:rsidRPr="001C3E68">
        <w:t>антидискриминационно</w:t>
      </w:r>
      <w:proofErr w:type="spellEnd"/>
      <w:r w:rsidR="001C3E68" w:rsidRPr="001C3E68">
        <w:t xml:space="preserve"> правно регулиране, 2004, БАН, </w:t>
      </w:r>
      <w:r w:rsidR="001C3E68">
        <w:t xml:space="preserve">128 </w:t>
      </w:r>
      <w:proofErr w:type="spellStart"/>
      <w:r w:rsidR="001C3E68">
        <w:t>с.,</w:t>
      </w:r>
      <w:r w:rsidR="001C3E68" w:rsidRPr="001C3E68">
        <w:t>ISBN</w:t>
      </w:r>
      <w:proofErr w:type="spellEnd"/>
      <w:r w:rsidR="001C3E68" w:rsidRPr="001C3E68">
        <w:t xml:space="preserve">  954-9583-15-5;</w:t>
      </w:r>
    </w:p>
  </w:footnote>
  <w:footnote w:id="4">
    <w:p w:rsidR="007E7617" w:rsidRPr="005E6551" w:rsidRDefault="007E7617" w:rsidP="007E7617">
      <w:pPr>
        <w:pStyle w:val="FootnoteText"/>
        <w:jc w:val="both"/>
      </w:pPr>
      <w:r w:rsidRPr="005E6551">
        <w:rPr>
          <w:rStyle w:val="FootnoteReference"/>
        </w:rPr>
        <w:footnoteRef/>
      </w:r>
      <w:r w:rsidRPr="005E6551">
        <w:t xml:space="preserve">  </w:t>
      </w:r>
      <w:r w:rsidRPr="005E6551">
        <w:t xml:space="preserve">Решение на КС № 1 от 27.01.2005 г. по </w:t>
      </w:r>
      <w:proofErr w:type="spellStart"/>
      <w:r w:rsidRPr="005E6551">
        <w:t>к.д</w:t>
      </w:r>
      <w:proofErr w:type="spellEnd"/>
      <w:r w:rsidRPr="005E6551">
        <w:t>.  № 8 от 2004 г;</w:t>
      </w:r>
    </w:p>
  </w:footnote>
  <w:footnote w:id="5">
    <w:p w:rsidR="007E7617" w:rsidRDefault="007E7617" w:rsidP="007E7617">
      <w:pPr>
        <w:pStyle w:val="FootnoteText"/>
        <w:jc w:val="both"/>
      </w:pPr>
      <w:r w:rsidRPr="005E6551">
        <w:rPr>
          <w:rStyle w:val="FootnoteReference"/>
        </w:rPr>
        <w:footnoteRef/>
      </w:r>
      <w:r w:rsidRPr="005E6551">
        <w:t xml:space="preserve"> </w:t>
      </w:r>
      <w:r w:rsidRPr="005E6551">
        <w:t>Така напр. Румънския Конституционен съд установява за противоконституционни определени правомощия  на Националния съвет за борба срещу дискриминацията</w:t>
      </w:r>
    </w:p>
    <w:p w:rsidR="001C3E68" w:rsidRDefault="001C3E68" w:rsidP="001C3E68">
      <w:pPr>
        <w:pStyle w:val="FootnoteText"/>
        <w:jc w:val="both"/>
      </w:pPr>
      <w:proofErr w:type="spellStart"/>
      <w:r>
        <w:t>Decision</w:t>
      </w:r>
      <w:proofErr w:type="spellEnd"/>
      <w:r>
        <w:t xml:space="preserve"> No.997of </w:t>
      </w:r>
      <w:proofErr w:type="spellStart"/>
      <w:r>
        <w:t>October</w:t>
      </w:r>
      <w:proofErr w:type="spellEnd"/>
      <w:r>
        <w:t xml:space="preserve"> 7th 2008, </w:t>
      </w:r>
      <w:proofErr w:type="spellStart"/>
      <w:r>
        <w:t>Published</w:t>
      </w:r>
      <w:proofErr w:type="spellEnd"/>
      <w:r>
        <w:t xml:space="preserve"> </w:t>
      </w:r>
      <w:proofErr w:type="spellStart"/>
      <w:r>
        <w:t>in</w:t>
      </w:r>
      <w:proofErr w:type="spellEnd"/>
      <w:r>
        <w:t xml:space="preserve"> </w:t>
      </w:r>
      <w:proofErr w:type="spellStart"/>
      <w:r>
        <w:t>the</w:t>
      </w:r>
      <w:proofErr w:type="spellEnd"/>
      <w:r>
        <w:t xml:space="preserve"> </w:t>
      </w:r>
      <w:proofErr w:type="spellStart"/>
      <w:r>
        <w:t>Official</w:t>
      </w:r>
      <w:proofErr w:type="spellEnd"/>
      <w:r>
        <w:t xml:space="preserve"> </w:t>
      </w:r>
      <w:proofErr w:type="spellStart"/>
      <w:r>
        <w:t>Gazette</w:t>
      </w:r>
      <w:proofErr w:type="spellEnd"/>
      <w:r>
        <w:t xml:space="preserve"> no.774 </w:t>
      </w:r>
      <w:proofErr w:type="spellStart"/>
      <w:r>
        <w:t>of</w:t>
      </w:r>
      <w:proofErr w:type="spellEnd"/>
      <w:r>
        <w:t xml:space="preserve"> </w:t>
      </w:r>
      <w:proofErr w:type="spellStart"/>
      <w:r>
        <w:t>November</w:t>
      </w:r>
      <w:proofErr w:type="spellEnd"/>
      <w:r>
        <w:t xml:space="preserve"> 18th 2008</w:t>
      </w:r>
    </w:p>
    <w:p w:rsidR="001C3E68" w:rsidRPr="005E6551" w:rsidRDefault="005E1EFC" w:rsidP="001C3E68">
      <w:pPr>
        <w:pStyle w:val="FootnoteText"/>
        <w:jc w:val="both"/>
      </w:pPr>
      <w:hyperlink r:id="rId1" w:history="1">
        <w:r w:rsidR="001C3E68" w:rsidRPr="001D2CAC">
          <w:rPr>
            <w:rStyle w:val="Hyperlink"/>
          </w:rPr>
          <w:t>http://www.ccr.ro/files/products/D0997_08.pdf</w:t>
        </w:r>
      </w:hyperlink>
      <w:r w:rsidR="001C3E68">
        <w:t xml:space="preserve"> </w:t>
      </w:r>
    </w:p>
  </w:footnote>
  <w:footnote w:id="6">
    <w:p w:rsidR="00712302" w:rsidRDefault="00712302" w:rsidP="00712302">
      <w:pPr>
        <w:pStyle w:val="FootnoteText"/>
        <w:jc w:val="both"/>
      </w:pPr>
      <w:r>
        <w:rPr>
          <w:rStyle w:val="FootnoteReference"/>
        </w:rPr>
        <w:footnoteRef/>
      </w:r>
      <w:r>
        <w:t xml:space="preserve"> </w:t>
      </w:r>
      <w:r>
        <w:t xml:space="preserve">Напр. възможността </w:t>
      </w:r>
      <w:r w:rsidRPr="00712302">
        <w:t xml:space="preserve">за сезиране на Конституционния съд от омбудсмана е ограничено, веднъж - само до определено правомощие (чл.149, ал.1, т.2 от КРБ),  втори път - само спрямо закон, а не всеки акт на Народното събрание, трети път –само по отношение на определен закон, а именно такъв, с който биха се нарушили права и свободи. </w:t>
      </w:r>
      <w:r>
        <w:t>Най- голямото ограничение обаче з</w:t>
      </w:r>
      <w:r w:rsidRPr="00712302">
        <w:t>а осъществяване на такава непряка закрила на индивида е преценката на сезиращия, т.е. дали омбудсмана ще намери за необходимо да сезира КС. Така интересът за защита в случая се размива измежду преценките на различни титуляри, осланящи се на собственото си виждане за дадена норма</w:t>
      </w:r>
      <w:r>
        <w:t xml:space="preserve"> и дадено право</w:t>
      </w:r>
      <w:r w:rsidRPr="00712302">
        <w:t>. Нещо повече, виждане, срещу което индивидът няма право да „възрази“.</w:t>
      </w:r>
      <w:r>
        <w:t xml:space="preserve"> </w:t>
      </w:r>
    </w:p>
  </w:footnote>
  <w:footnote w:id="7">
    <w:p w:rsidR="0060077B" w:rsidRDefault="0060077B" w:rsidP="0060077B">
      <w:pPr>
        <w:pStyle w:val="FootnoteText"/>
        <w:jc w:val="both"/>
      </w:pPr>
      <w:r>
        <w:rPr>
          <w:rStyle w:val="FootnoteReference"/>
        </w:rPr>
        <w:footnoteRef/>
      </w:r>
      <w:r>
        <w:t xml:space="preserve"> </w:t>
      </w:r>
      <w:r>
        <w:t xml:space="preserve">Казано просто </w:t>
      </w:r>
      <w:r w:rsidRPr="00226A57">
        <w:rPr>
          <w:i/>
        </w:rPr>
        <w:t>позитивните мерки</w:t>
      </w:r>
      <w:r>
        <w:t xml:space="preserve"> са тези необходими мерки, чрез които държавата следва да въздейства върху де факто несправедливи неравенства. </w:t>
      </w:r>
      <w:r w:rsidRPr="0060077B">
        <w:t>Те са изключени</w:t>
      </w:r>
      <w:r>
        <w:t>я от забраната за дискриминация в чист вид,</w:t>
      </w:r>
      <w:r w:rsidRPr="0060077B">
        <w:t xml:space="preserve"> които търпят обществената си оправданост в различни аспекти. </w:t>
      </w:r>
      <w:r>
        <w:t>В чист вид те изискват неравно третиране на определени лица, групи или положения.</w:t>
      </w:r>
    </w:p>
  </w:footnote>
  <w:footnote w:id="8">
    <w:p w:rsidR="00894670" w:rsidRDefault="00894670">
      <w:pPr>
        <w:pStyle w:val="FootnoteText"/>
      </w:pPr>
      <w:r>
        <w:rPr>
          <w:rStyle w:val="FootnoteReference"/>
        </w:rPr>
        <w:footnoteRef/>
      </w:r>
      <w:r>
        <w:t xml:space="preserve"> </w:t>
      </w:r>
      <w:r w:rsidR="00FE7484">
        <w:t xml:space="preserve">Янкулова, Р. </w:t>
      </w:r>
      <w:r w:rsidR="00BC0D81" w:rsidRPr="00BC0D81">
        <w:rPr>
          <w:i/>
        </w:rPr>
        <w:t xml:space="preserve">За някои закони като възможен предмет на искане за абстрактен </w:t>
      </w:r>
      <w:proofErr w:type="spellStart"/>
      <w:r w:rsidR="00BC0D81" w:rsidRPr="00BC0D81">
        <w:rPr>
          <w:i/>
        </w:rPr>
        <w:t>нормен</w:t>
      </w:r>
      <w:proofErr w:type="spellEnd"/>
      <w:r w:rsidR="00BC0D81" w:rsidRPr="00BC0D81">
        <w:rPr>
          <w:i/>
        </w:rPr>
        <w:t xml:space="preserve"> контрол пред Конституционния съд</w:t>
      </w:r>
      <w:r w:rsidR="00FE7484">
        <w:t xml:space="preserve"> – В: Н</w:t>
      </w:r>
      <w:r w:rsidR="00BC0D81" w:rsidRPr="00BC0D81">
        <w:t>аучни трудове на ИДП, том VIII, София, 2013</w:t>
      </w:r>
      <w:r w:rsidR="00FE7484">
        <w:t xml:space="preserve"> </w:t>
      </w:r>
      <w:bookmarkStart w:id="8" w:name="_GoBack"/>
      <w:bookmarkEnd w:id="8"/>
      <w:r w:rsidR="00BC0D81" w:rsidRPr="00BC0D81">
        <w:t>г.</w:t>
      </w:r>
    </w:p>
  </w:footnote>
  <w:footnote w:id="9">
    <w:p w:rsidR="007E7617" w:rsidRPr="005E6551" w:rsidRDefault="007E7617" w:rsidP="007E7617">
      <w:pPr>
        <w:pStyle w:val="FootnoteText"/>
      </w:pPr>
      <w:r w:rsidRPr="005E6551">
        <w:rPr>
          <w:rStyle w:val="FootnoteReference"/>
        </w:rPr>
        <w:footnoteRef/>
      </w:r>
      <w:r w:rsidRPr="005E6551">
        <w:t xml:space="preserve"> </w:t>
      </w:r>
      <w:proofErr w:type="spellStart"/>
      <w:r w:rsidRPr="005E6551">
        <w:t>Ibid</w:t>
      </w:r>
      <w:proofErr w:type="spellEnd"/>
      <w:r w:rsidRPr="005E6551">
        <w:t>… с. 126</w:t>
      </w:r>
    </w:p>
  </w:footnote>
  <w:footnote w:id="10">
    <w:p w:rsidR="007E7617" w:rsidRPr="005E6551" w:rsidRDefault="007E7617" w:rsidP="007E7617">
      <w:pPr>
        <w:pStyle w:val="FootnoteText"/>
        <w:jc w:val="both"/>
      </w:pPr>
      <w:r w:rsidRPr="005E6551">
        <w:rPr>
          <w:rStyle w:val="FootnoteReference"/>
        </w:rPr>
        <w:footnoteRef/>
      </w:r>
      <w:r w:rsidRPr="005E6551">
        <w:t xml:space="preserve"> </w:t>
      </w:r>
      <w:r w:rsidRPr="005E6551">
        <w:t xml:space="preserve">Така напр. с Решение № 3/2004 г. по </w:t>
      </w:r>
      <w:proofErr w:type="spellStart"/>
      <w:r w:rsidRPr="005E6551">
        <w:t>конст</w:t>
      </w:r>
      <w:proofErr w:type="spellEnd"/>
      <w:r w:rsidRPr="005E6551">
        <w:t>. д. № 3/ 2004 г, КС (</w:t>
      </w:r>
      <w:proofErr w:type="spellStart"/>
      <w:r w:rsidRPr="005E6551">
        <w:t>Обн</w:t>
      </w:r>
      <w:proofErr w:type="spellEnd"/>
      <w:r w:rsidRPr="005E6551">
        <w:t>., ДВ, бр. 61 от 13 юли 2004 г.) бе категоричен, че промени в Конституцията, разширяващи признаците на равноправие на българските граждани в съответствие с Хартата за основните правата на Европейския съюз могат да бъдат извършени от Народно събрание.</w:t>
      </w:r>
    </w:p>
  </w:footnote>
  <w:footnote w:id="11">
    <w:p w:rsidR="007E7617" w:rsidRPr="005E6551" w:rsidRDefault="007E7617" w:rsidP="007E7617">
      <w:pPr>
        <w:pStyle w:val="FootnoteText"/>
        <w:jc w:val="both"/>
      </w:pPr>
      <w:r w:rsidRPr="005E6551">
        <w:rPr>
          <w:rStyle w:val="FootnoteReference"/>
        </w:rPr>
        <w:footnoteRef/>
      </w:r>
      <w:r w:rsidRPr="005E6551">
        <w:t xml:space="preserve"> </w:t>
      </w:r>
      <w:proofErr w:type="spellStart"/>
      <w:r w:rsidRPr="005E6551">
        <w:t>Partial</w:t>
      </w:r>
      <w:proofErr w:type="spellEnd"/>
      <w:r w:rsidRPr="005E6551">
        <w:t xml:space="preserve"> </w:t>
      </w:r>
      <w:proofErr w:type="spellStart"/>
      <w:r w:rsidRPr="005E6551">
        <w:t>unconstitutionality</w:t>
      </w:r>
      <w:proofErr w:type="spellEnd"/>
      <w:r w:rsidRPr="005E6551">
        <w:t xml:space="preserve"> </w:t>
      </w:r>
      <w:proofErr w:type="spellStart"/>
      <w:r w:rsidRPr="005E6551">
        <w:t>of</w:t>
      </w:r>
      <w:proofErr w:type="spellEnd"/>
      <w:r w:rsidRPr="005E6551">
        <w:t xml:space="preserve"> </w:t>
      </w:r>
      <w:proofErr w:type="spellStart"/>
      <w:r w:rsidRPr="005E6551">
        <w:t>general</w:t>
      </w:r>
      <w:proofErr w:type="spellEnd"/>
      <w:r w:rsidRPr="005E6551">
        <w:t xml:space="preserve"> </w:t>
      </w:r>
      <w:proofErr w:type="spellStart"/>
      <w:r w:rsidRPr="005E6551">
        <w:t>norms</w:t>
      </w:r>
      <w:proofErr w:type="spellEnd"/>
      <w:r w:rsidRPr="005E6551">
        <w:t xml:space="preserve"> </w:t>
      </w:r>
      <w:proofErr w:type="spellStart"/>
      <w:r w:rsidRPr="005E6551">
        <w:t>because</w:t>
      </w:r>
      <w:proofErr w:type="spellEnd"/>
      <w:r w:rsidRPr="005E6551">
        <w:t xml:space="preserve"> </w:t>
      </w:r>
      <w:proofErr w:type="spellStart"/>
      <w:r w:rsidRPr="005E6551">
        <w:t>of</w:t>
      </w:r>
      <w:proofErr w:type="spellEnd"/>
      <w:r w:rsidRPr="005E6551">
        <w:t xml:space="preserve"> </w:t>
      </w:r>
      <w:proofErr w:type="spellStart"/>
      <w:r w:rsidRPr="005E6551">
        <w:t>legislative</w:t>
      </w:r>
      <w:proofErr w:type="spellEnd"/>
      <w:r w:rsidRPr="005E6551">
        <w:t xml:space="preserve"> </w:t>
      </w:r>
      <w:proofErr w:type="spellStart"/>
      <w:r w:rsidRPr="005E6551">
        <w:t>omission</w:t>
      </w:r>
      <w:proofErr w:type="spellEnd"/>
    </w:p>
    <w:p w:rsidR="007E7617" w:rsidRPr="005E6551" w:rsidRDefault="007E7617" w:rsidP="007E7617">
      <w:pPr>
        <w:pStyle w:val="FootnoteText"/>
        <w:jc w:val="both"/>
      </w:pPr>
      <w:proofErr w:type="spellStart"/>
      <w:r w:rsidRPr="005E6551">
        <w:t>Legislative</w:t>
      </w:r>
      <w:proofErr w:type="spellEnd"/>
      <w:r w:rsidRPr="005E6551">
        <w:t xml:space="preserve"> </w:t>
      </w:r>
      <w:proofErr w:type="spellStart"/>
      <w:r w:rsidRPr="005E6551">
        <w:t>omission</w:t>
      </w:r>
      <w:proofErr w:type="spellEnd"/>
      <w:r w:rsidRPr="005E6551">
        <w:t xml:space="preserve"> </w:t>
      </w:r>
      <w:proofErr w:type="spellStart"/>
      <w:r w:rsidRPr="005E6551">
        <w:t>as</w:t>
      </w:r>
      <w:proofErr w:type="spellEnd"/>
      <w:r w:rsidRPr="005E6551">
        <w:t xml:space="preserve"> a </w:t>
      </w:r>
      <w:proofErr w:type="spellStart"/>
      <w:r w:rsidRPr="005E6551">
        <w:t>problem</w:t>
      </w:r>
      <w:proofErr w:type="spellEnd"/>
      <w:r w:rsidRPr="005E6551">
        <w:t xml:space="preserve"> </w:t>
      </w:r>
      <w:proofErr w:type="spellStart"/>
      <w:r w:rsidRPr="005E6551">
        <w:t>of</w:t>
      </w:r>
      <w:proofErr w:type="spellEnd"/>
      <w:r w:rsidRPr="005E6551">
        <w:t xml:space="preserve"> </w:t>
      </w:r>
      <w:proofErr w:type="spellStart"/>
      <w:r w:rsidRPr="005E6551">
        <w:t>constitutional</w:t>
      </w:r>
      <w:proofErr w:type="spellEnd"/>
      <w:r w:rsidRPr="005E6551">
        <w:t xml:space="preserve"> </w:t>
      </w:r>
      <w:proofErr w:type="spellStart"/>
      <w:r w:rsidRPr="005E6551">
        <w:t>review</w:t>
      </w:r>
      <w:proofErr w:type="spellEnd"/>
      <w:r w:rsidRPr="005E6551">
        <w:t xml:space="preserve">; </w:t>
      </w:r>
      <w:proofErr w:type="spellStart"/>
      <w:r w:rsidRPr="005E6551">
        <w:t>Report</w:t>
      </w:r>
      <w:proofErr w:type="spellEnd"/>
      <w:r w:rsidRPr="005E6551">
        <w:t xml:space="preserve"> </w:t>
      </w:r>
      <w:proofErr w:type="spellStart"/>
      <w:r w:rsidRPr="005E6551">
        <w:t>of</w:t>
      </w:r>
      <w:proofErr w:type="spellEnd"/>
      <w:r w:rsidRPr="005E6551">
        <w:t xml:space="preserve"> </w:t>
      </w:r>
      <w:proofErr w:type="spellStart"/>
      <w:r w:rsidRPr="005E6551">
        <w:t>the</w:t>
      </w:r>
      <w:proofErr w:type="spellEnd"/>
      <w:r w:rsidRPr="005E6551">
        <w:t xml:space="preserve"> </w:t>
      </w:r>
      <w:proofErr w:type="spellStart"/>
      <w:r w:rsidRPr="005E6551">
        <w:t>Austrian</w:t>
      </w:r>
      <w:proofErr w:type="spellEnd"/>
      <w:r w:rsidRPr="005E6551">
        <w:t xml:space="preserve"> </w:t>
      </w:r>
      <w:proofErr w:type="spellStart"/>
      <w:r w:rsidRPr="005E6551">
        <w:t>Constitutional</w:t>
      </w:r>
      <w:proofErr w:type="spellEnd"/>
      <w:r w:rsidRPr="005E6551">
        <w:t xml:space="preserve"> </w:t>
      </w:r>
      <w:proofErr w:type="spellStart"/>
      <w:r w:rsidRPr="005E6551">
        <w:t>Court</w:t>
      </w:r>
      <w:proofErr w:type="spellEnd"/>
      <w:r w:rsidRPr="005E6551">
        <w:t xml:space="preserve"> XIV. </w:t>
      </w:r>
      <w:proofErr w:type="spellStart"/>
      <w:r w:rsidRPr="005E6551">
        <w:t>Congress</w:t>
      </w:r>
      <w:proofErr w:type="spellEnd"/>
      <w:r w:rsidRPr="005E6551">
        <w:t xml:space="preserve"> </w:t>
      </w:r>
      <w:proofErr w:type="spellStart"/>
      <w:r w:rsidRPr="005E6551">
        <w:t>of</w:t>
      </w:r>
      <w:proofErr w:type="spellEnd"/>
      <w:r w:rsidRPr="005E6551">
        <w:t xml:space="preserve"> </w:t>
      </w:r>
      <w:proofErr w:type="spellStart"/>
      <w:r w:rsidRPr="005E6551">
        <w:t>the</w:t>
      </w:r>
      <w:proofErr w:type="spellEnd"/>
      <w:r w:rsidRPr="005E6551">
        <w:t xml:space="preserve"> </w:t>
      </w:r>
      <w:proofErr w:type="spellStart"/>
      <w:r w:rsidRPr="005E6551">
        <w:t>Conference</w:t>
      </w:r>
      <w:proofErr w:type="spellEnd"/>
      <w:r w:rsidRPr="005E6551">
        <w:t xml:space="preserve"> </w:t>
      </w:r>
      <w:proofErr w:type="spellStart"/>
      <w:r w:rsidRPr="005E6551">
        <w:t>of</w:t>
      </w:r>
      <w:proofErr w:type="spellEnd"/>
      <w:r w:rsidRPr="005E6551">
        <w:t xml:space="preserve"> </w:t>
      </w:r>
      <w:proofErr w:type="spellStart"/>
      <w:r w:rsidRPr="005E6551">
        <w:t>European</w:t>
      </w:r>
      <w:proofErr w:type="spellEnd"/>
      <w:r w:rsidRPr="005E6551">
        <w:t xml:space="preserve"> </w:t>
      </w:r>
      <w:proofErr w:type="spellStart"/>
      <w:r w:rsidRPr="005E6551">
        <w:t>Constitutional</w:t>
      </w:r>
      <w:proofErr w:type="spellEnd"/>
      <w:r w:rsidRPr="005E6551">
        <w:t xml:space="preserve"> </w:t>
      </w:r>
      <w:proofErr w:type="spellStart"/>
      <w:r w:rsidRPr="005E6551">
        <w:t>Courts</w:t>
      </w:r>
      <w:proofErr w:type="spellEnd"/>
      <w:r w:rsidRPr="005E6551">
        <w:t xml:space="preserve">, </w:t>
      </w:r>
      <w:proofErr w:type="spellStart"/>
      <w:r w:rsidRPr="005E6551">
        <w:t>Vilnius</w:t>
      </w:r>
      <w:proofErr w:type="spellEnd"/>
      <w:r w:rsidRPr="005E6551">
        <w:t xml:space="preserve">, </w:t>
      </w:r>
      <w:proofErr w:type="spellStart"/>
      <w:r w:rsidRPr="005E6551">
        <w:t>Lithuania</w:t>
      </w:r>
      <w:proofErr w:type="spellEnd"/>
      <w:r w:rsidRPr="005E6551">
        <w:t xml:space="preserve">, </w:t>
      </w:r>
      <w:proofErr w:type="spellStart"/>
      <w:r w:rsidRPr="005E6551">
        <w:t>June</w:t>
      </w:r>
      <w:proofErr w:type="spellEnd"/>
      <w:r w:rsidRPr="005E6551">
        <w:t xml:space="preserve"> 2 - 7, 2008, р.19</w:t>
      </w:r>
    </w:p>
  </w:footnote>
  <w:footnote w:id="12">
    <w:p w:rsidR="007E7617" w:rsidRPr="005E6551" w:rsidRDefault="007E7617" w:rsidP="007E7617">
      <w:pPr>
        <w:pStyle w:val="FootnoteText"/>
        <w:jc w:val="both"/>
      </w:pPr>
      <w:r w:rsidRPr="005E6551">
        <w:rPr>
          <w:rStyle w:val="FootnoteReference"/>
        </w:rPr>
        <w:footnoteRef/>
      </w:r>
      <w:r w:rsidRPr="005E6551">
        <w:t xml:space="preserve"> </w:t>
      </w:r>
      <w:proofErr w:type="spellStart"/>
      <w:r w:rsidRPr="005E6551">
        <w:t>The</w:t>
      </w:r>
      <w:proofErr w:type="spellEnd"/>
      <w:r w:rsidRPr="005E6551">
        <w:t xml:space="preserve"> </w:t>
      </w:r>
      <w:proofErr w:type="spellStart"/>
      <w:r w:rsidRPr="005E6551">
        <w:t>omission</w:t>
      </w:r>
      <w:proofErr w:type="spellEnd"/>
      <w:r w:rsidRPr="005E6551">
        <w:t xml:space="preserve"> </w:t>
      </w:r>
      <w:proofErr w:type="spellStart"/>
      <w:r w:rsidRPr="005E6551">
        <w:t>of</w:t>
      </w:r>
      <w:proofErr w:type="spellEnd"/>
      <w:r w:rsidRPr="005E6551">
        <w:t xml:space="preserve"> </w:t>
      </w:r>
      <w:proofErr w:type="spellStart"/>
      <w:r w:rsidRPr="005E6551">
        <w:t>transitional</w:t>
      </w:r>
      <w:proofErr w:type="spellEnd"/>
      <w:r w:rsidRPr="005E6551">
        <w:t xml:space="preserve"> </w:t>
      </w:r>
      <w:proofErr w:type="spellStart"/>
      <w:r w:rsidRPr="005E6551">
        <w:t>provisions</w:t>
      </w:r>
      <w:proofErr w:type="spellEnd"/>
      <w:r w:rsidRPr="005E6551">
        <w:t xml:space="preserve"> </w:t>
      </w:r>
      <w:proofErr w:type="spellStart"/>
      <w:r w:rsidRPr="005E6551">
        <w:t>contradicting</w:t>
      </w:r>
      <w:proofErr w:type="spellEnd"/>
      <w:r w:rsidRPr="005E6551">
        <w:t xml:space="preserve"> </w:t>
      </w:r>
      <w:proofErr w:type="spellStart"/>
      <w:r w:rsidRPr="005E6551">
        <w:t>the</w:t>
      </w:r>
      <w:proofErr w:type="spellEnd"/>
      <w:r w:rsidRPr="005E6551">
        <w:t xml:space="preserve"> </w:t>
      </w:r>
      <w:proofErr w:type="spellStart"/>
      <w:r w:rsidRPr="005E6551">
        <w:t>equality</w:t>
      </w:r>
      <w:proofErr w:type="spellEnd"/>
      <w:r w:rsidRPr="005E6551">
        <w:t xml:space="preserve"> </w:t>
      </w:r>
      <w:proofErr w:type="spellStart"/>
      <w:r w:rsidRPr="005E6551">
        <w:t>principle</w:t>
      </w:r>
      <w:proofErr w:type="spellEnd"/>
    </w:p>
    <w:p w:rsidR="007E7617" w:rsidRPr="005E6551" w:rsidRDefault="007E7617" w:rsidP="007E7617">
      <w:pPr>
        <w:pStyle w:val="FootnoteText"/>
        <w:jc w:val="both"/>
      </w:pPr>
      <w:proofErr w:type="spellStart"/>
      <w:r w:rsidRPr="005E6551">
        <w:t>Legislative</w:t>
      </w:r>
      <w:proofErr w:type="spellEnd"/>
      <w:r w:rsidRPr="005E6551">
        <w:t xml:space="preserve"> </w:t>
      </w:r>
      <w:proofErr w:type="spellStart"/>
      <w:r w:rsidRPr="005E6551">
        <w:t>omission</w:t>
      </w:r>
      <w:proofErr w:type="spellEnd"/>
      <w:r w:rsidRPr="005E6551">
        <w:t xml:space="preserve"> </w:t>
      </w:r>
      <w:proofErr w:type="spellStart"/>
      <w:r w:rsidRPr="005E6551">
        <w:t>as</w:t>
      </w:r>
      <w:proofErr w:type="spellEnd"/>
      <w:r w:rsidRPr="005E6551">
        <w:t xml:space="preserve"> a </w:t>
      </w:r>
      <w:proofErr w:type="spellStart"/>
      <w:r w:rsidRPr="005E6551">
        <w:t>problem</w:t>
      </w:r>
      <w:proofErr w:type="spellEnd"/>
      <w:r w:rsidRPr="005E6551">
        <w:t xml:space="preserve"> </w:t>
      </w:r>
      <w:proofErr w:type="spellStart"/>
      <w:r w:rsidRPr="005E6551">
        <w:t>of</w:t>
      </w:r>
      <w:proofErr w:type="spellEnd"/>
      <w:r w:rsidRPr="005E6551">
        <w:t xml:space="preserve"> </w:t>
      </w:r>
      <w:proofErr w:type="spellStart"/>
      <w:r w:rsidRPr="005E6551">
        <w:t>constitutional</w:t>
      </w:r>
      <w:proofErr w:type="spellEnd"/>
      <w:r w:rsidRPr="005E6551">
        <w:t xml:space="preserve"> </w:t>
      </w:r>
      <w:proofErr w:type="spellStart"/>
      <w:r w:rsidRPr="005E6551">
        <w:t>review</w:t>
      </w:r>
      <w:proofErr w:type="spellEnd"/>
      <w:r w:rsidRPr="005E6551">
        <w:t xml:space="preserve">; </w:t>
      </w:r>
      <w:proofErr w:type="spellStart"/>
      <w:r w:rsidRPr="005E6551">
        <w:t>Report</w:t>
      </w:r>
      <w:proofErr w:type="spellEnd"/>
      <w:r w:rsidRPr="005E6551">
        <w:t xml:space="preserve"> </w:t>
      </w:r>
      <w:proofErr w:type="spellStart"/>
      <w:r w:rsidRPr="005E6551">
        <w:t>of</w:t>
      </w:r>
      <w:proofErr w:type="spellEnd"/>
      <w:r w:rsidRPr="005E6551">
        <w:t xml:space="preserve"> </w:t>
      </w:r>
      <w:proofErr w:type="spellStart"/>
      <w:r w:rsidRPr="005E6551">
        <w:t>the</w:t>
      </w:r>
      <w:proofErr w:type="spellEnd"/>
      <w:r w:rsidRPr="005E6551">
        <w:t xml:space="preserve"> </w:t>
      </w:r>
      <w:proofErr w:type="spellStart"/>
      <w:r w:rsidRPr="005E6551">
        <w:t>Austrian</w:t>
      </w:r>
      <w:proofErr w:type="spellEnd"/>
      <w:r w:rsidRPr="005E6551">
        <w:t xml:space="preserve"> </w:t>
      </w:r>
      <w:proofErr w:type="spellStart"/>
      <w:r w:rsidRPr="005E6551">
        <w:t>Constitutional</w:t>
      </w:r>
      <w:proofErr w:type="spellEnd"/>
      <w:r w:rsidRPr="005E6551">
        <w:t xml:space="preserve"> </w:t>
      </w:r>
      <w:proofErr w:type="spellStart"/>
      <w:r w:rsidRPr="005E6551">
        <w:t>Court</w:t>
      </w:r>
      <w:proofErr w:type="spellEnd"/>
      <w:r w:rsidRPr="005E6551">
        <w:t xml:space="preserve"> XIV. </w:t>
      </w:r>
      <w:proofErr w:type="spellStart"/>
      <w:r w:rsidRPr="005E6551">
        <w:t>Congress</w:t>
      </w:r>
      <w:proofErr w:type="spellEnd"/>
      <w:r w:rsidRPr="005E6551">
        <w:t xml:space="preserve"> </w:t>
      </w:r>
      <w:proofErr w:type="spellStart"/>
      <w:r w:rsidRPr="005E6551">
        <w:t>of</w:t>
      </w:r>
      <w:proofErr w:type="spellEnd"/>
      <w:r w:rsidRPr="005E6551">
        <w:t xml:space="preserve"> </w:t>
      </w:r>
      <w:proofErr w:type="spellStart"/>
      <w:r w:rsidRPr="005E6551">
        <w:t>the</w:t>
      </w:r>
      <w:proofErr w:type="spellEnd"/>
      <w:r w:rsidRPr="005E6551">
        <w:t xml:space="preserve"> </w:t>
      </w:r>
      <w:proofErr w:type="spellStart"/>
      <w:r w:rsidRPr="005E6551">
        <w:t>Conference</w:t>
      </w:r>
      <w:proofErr w:type="spellEnd"/>
      <w:r w:rsidRPr="005E6551">
        <w:t xml:space="preserve"> </w:t>
      </w:r>
      <w:proofErr w:type="spellStart"/>
      <w:r w:rsidRPr="005E6551">
        <w:t>of</w:t>
      </w:r>
      <w:proofErr w:type="spellEnd"/>
      <w:r w:rsidRPr="005E6551">
        <w:t xml:space="preserve"> </w:t>
      </w:r>
      <w:proofErr w:type="spellStart"/>
      <w:r w:rsidRPr="005E6551">
        <w:t>European</w:t>
      </w:r>
      <w:proofErr w:type="spellEnd"/>
      <w:r w:rsidRPr="005E6551">
        <w:t xml:space="preserve"> </w:t>
      </w:r>
      <w:proofErr w:type="spellStart"/>
      <w:r w:rsidRPr="005E6551">
        <w:t>Constitutional</w:t>
      </w:r>
      <w:proofErr w:type="spellEnd"/>
      <w:r w:rsidRPr="005E6551">
        <w:t xml:space="preserve"> </w:t>
      </w:r>
      <w:proofErr w:type="spellStart"/>
      <w:r w:rsidRPr="005E6551">
        <w:t>Courts</w:t>
      </w:r>
      <w:proofErr w:type="spellEnd"/>
      <w:r w:rsidRPr="005E6551">
        <w:t xml:space="preserve">, </w:t>
      </w:r>
      <w:proofErr w:type="spellStart"/>
      <w:r w:rsidRPr="005E6551">
        <w:t>Vilnius</w:t>
      </w:r>
      <w:proofErr w:type="spellEnd"/>
      <w:r w:rsidRPr="005E6551">
        <w:t xml:space="preserve">, </w:t>
      </w:r>
      <w:proofErr w:type="spellStart"/>
      <w:r w:rsidRPr="005E6551">
        <w:t>Lithuania</w:t>
      </w:r>
      <w:proofErr w:type="spellEnd"/>
      <w:r w:rsidRPr="005E6551">
        <w:t xml:space="preserve">, </w:t>
      </w:r>
      <w:proofErr w:type="spellStart"/>
      <w:r w:rsidRPr="005E6551">
        <w:t>June</w:t>
      </w:r>
      <w:proofErr w:type="spellEnd"/>
      <w:r w:rsidRPr="005E6551">
        <w:t xml:space="preserve"> 2 - 7, 2008, р.21</w:t>
      </w:r>
    </w:p>
  </w:footnote>
  <w:footnote w:id="13">
    <w:p w:rsidR="007E7617" w:rsidRPr="004E5728" w:rsidRDefault="007E7617" w:rsidP="004E5728">
      <w:pPr>
        <w:spacing w:after="200" w:line="276" w:lineRule="auto"/>
        <w:contextualSpacing/>
        <w:jc w:val="both"/>
        <w:rPr>
          <w:rFonts w:ascii="Times New Roman" w:eastAsia="Times New Roman" w:hAnsi="Times New Roman" w:cs="Times New Roman"/>
          <w:sz w:val="20"/>
          <w:szCs w:val="20"/>
          <w:lang w:eastAsia="bg-BG"/>
        </w:rPr>
      </w:pPr>
      <w:r w:rsidRPr="004E5728">
        <w:rPr>
          <w:rStyle w:val="FootnoteReference"/>
          <w:rFonts w:ascii="Times New Roman" w:hAnsi="Times New Roman" w:cs="Times New Roman"/>
          <w:sz w:val="20"/>
          <w:szCs w:val="20"/>
        </w:rPr>
        <w:footnoteRef/>
      </w:r>
      <w:r w:rsidRPr="004E5728">
        <w:rPr>
          <w:rFonts w:ascii="Times New Roman" w:hAnsi="Times New Roman" w:cs="Times New Roman"/>
          <w:sz w:val="20"/>
          <w:szCs w:val="20"/>
        </w:rPr>
        <w:t xml:space="preserve"> </w:t>
      </w:r>
      <w:r w:rsidR="004E5728" w:rsidRPr="004E5728">
        <w:rPr>
          <w:rFonts w:ascii="Times New Roman" w:eastAsia="Times New Roman" w:hAnsi="Times New Roman" w:cs="Times New Roman"/>
          <w:sz w:val="20"/>
          <w:szCs w:val="20"/>
          <w:lang w:eastAsia="bg-BG"/>
        </w:rPr>
        <w:t xml:space="preserve">Омбудсманът счита, че пълното лишаване от дееспособност на пълнолетни лица по силата на обща законова разпоредба е несъвместимо с Конституцията и поради това иска установяване на противоконституционност на чл. 5, ал.3 от Закона за лицата и семейството, според която </w:t>
      </w:r>
      <w:r w:rsidR="004E5728" w:rsidRPr="004E5728">
        <w:rPr>
          <w:rFonts w:ascii="Times New Roman" w:eastAsia="Times New Roman" w:hAnsi="Times New Roman" w:cs="Times New Roman"/>
          <w:i/>
          <w:sz w:val="20"/>
          <w:szCs w:val="20"/>
          <w:lang w:eastAsia="bg-BG"/>
        </w:rPr>
        <w:t xml:space="preserve">непълнолетните и пълнолетните, които поради слабоумие или душевна болест не могат да се грижат за своите работи, се поставят под пълно запрещение и стават недееспособни. </w:t>
      </w:r>
      <w:r w:rsidR="004E5728" w:rsidRPr="004E5728">
        <w:rPr>
          <w:rFonts w:ascii="Times New Roman" w:eastAsia="Times New Roman" w:hAnsi="Times New Roman" w:cs="Times New Roman"/>
          <w:sz w:val="20"/>
          <w:szCs w:val="20"/>
          <w:lang w:eastAsia="bg-BG"/>
        </w:rPr>
        <w:t xml:space="preserve">Съгласно чл. 5, ал.3 </w:t>
      </w:r>
      <w:proofErr w:type="spellStart"/>
      <w:r w:rsidR="004E5728" w:rsidRPr="004E5728">
        <w:rPr>
          <w:rFonts w:ascii="Times New Roman" w:eastAsia="Times New Roman" w:hAnsi="Times New Roman" w:cs="Times New Roman"/>
          <w:sz w:val="20"/>
          <w:szCs w:val="20"/>
          <w:lang w:eastAsia="bg-BG"/>
        </w:rPr>
        <w:t>вр</w:t>
      </w:r>
      <w:proofErr w:type="spellEnd"/>
      <w:r w:rsidR="004E5728" w:rsidRPr="004E5728">
        <w:rPr>
          <w:rFonts w:ascii="Times New Roman" w:eastAsia="Times New Roman" w:hAnsi="Times New Roman" w:cs="Times New Roman"/>
          <w:sz w:val="20"/>
          <w:szCs w:val="20"/>
          <w:lang w:eastAsia="bg-BG"/>
        </w:rPr>
        <w:t xml:space="preserve">. чл. 3, ал.2 от ЗЛС вместо тях и от тяхно име правни действия извършват техните законни представители - родители или настойници. Според омбудсмана единственото конституционно ограничение на правата на лицата, поставени под запрещение, е свързано с избирателните им права и е уредено в чл. 42, ал. 1 и чл. 65, ал. 1 от Конституцията. Омбудсманът счита, че пълното лишаване от дееспособност на пълнолетни лица по силата на обща законова разпоредба е несъвместимо с Конституцията. </w:t>
      </w:r>
      <w:r w:rsidR="004E5728" w:rsidRPr="004E5728">
        <w:rPr>
          <w:rFonts w:ascii="Times New Roman" w:hAnsi="Times New Roman" w:cs="Times New Roman"/>
          <w:i/>
          <w:sz w:val="20"/>
          <w:szCs w:val="20"/>
        </w:rPr>
        <w:t xml:space="preserve">. </w:t>
      </w:r>
      <w:r w:rsidR="004E5728" w:rsidRPr="004E5728">
        <w:rPr>
          <w:rFonts w:ascii="Times New Roman" w:hAnsi="Times New Roman" w:cs="Times New Roman"/>
          <w:sz w:val="20"/>
          <w:szCs w:val="20"/>
        </w:rPr>
        <w:t xml:space="preserve">В крайна сметка КС отхвърля искането на омбудсмана, като логично аргументира, че проблемът с липсата на регламентация на правата на пълнолетните недееспособни в нарушение на  Конвенцията за правата на хората с увреждания няма да бъде лишен с </w:t>
      </w:r>
      <w:proofErr w:type="spellStart"/>
      <w:r w:rsidR="004E5728" w:rsidRPr="004E5728">
        <w:rPr>
          <w:rFonts w:ascii="Times New Roman" w:hAnsi="Times New Roman" w:cs="Times New Roman"/>
          <w:sz w:val="20"/>
          <w:szCs w:val="20"/>
        </w:rPr>
        <w:t>неприлагането</w:t>
      </w:r>
      <w:proofErr w:type="spellEnd"/>
      <w:r w:rsidR="004E5728" w:rsidRPr="004E5728">
        <w:rPr>
          <w:rFonts w:ascii="Times New Roman" w:hAnsi="Times New Roman" w:cs="Times New Roman"/>
          <w:sz w:val="20"/>
          <w:szCs w:val="20"/>
        </w:rPr>
        <w:t xml:space="preserve"> на оспорваните разпоредби.</w:t>
      </w:r>
    </w:p>
  </w:footnote>
  <w:footnote w:id="14">
    <w:p w:rsidR="004E5728" w:rsidRDefault="004E5728">
      <w:pPr>
        <w:pStyle w:val="FootnoteText"/>
      </w:pPr>
      <w:r w:rsidRPr="004E5728">
        <w:rPr>
          <w:rStyle w:val="FootnoteReference"/>
        </w:rPr>
        <w:footnoteRef/>
      </w:r>
      <w:r w:rsidRPr="004E5728">
        <w:t xml:space="preserve">  </w:t>
      </w:r>
      <w:r w:rsidRPr="004E5728">
        <w:t>Съгласно чл. 47, т.6 и 8</w:t>
      </w:r>
      <w:r w:rsidR="00716E55">
        <w:t xml:space="preserve"> </w:t>
      </w:r>
      <w:r>
        <w:t xml:space="preserve">от </w:t>
      </w:r>
      <w:proofErr w:type="spellStart"/>
      <w:r>
        <w:t>ЗЗДискр</w:t>
      </w:r>
      <w:proofErr w:type="spellEnd"/>
      <w:r>
        <w:t xml:space="preserve">. </w:t>
      </w:r>
      <w:r w:rsidRPr="004E5728">
        <w:t xml:space="preserve"> КЗД може да дава становища и препоръки по отношение приемане, отменяне и изменяне на нормативни актове, с които се нарушава забраната за дискриминация.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84" w:rsidRDefault="00FE7484">
    <w:pPr>
      <w:pStyle w:val="Heade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763313" o:spid="_x0000_s2050" type="#_x0000_t75" style="position:absolute;margin-left:0;margin-top:0;width:453.4pt;height:318.75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84" w:rsidRDefault="00FE7484">
    <w:pPr>
      <w:pStyle w:val="Heade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763314" o:spid="_x0000_s2051" type="#_x0000_t75" style="position:absolute;margin-left:0;margin-top:0;width:453.4pt;height:318.75pt;z-index:-251656192;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84" w:rsidRDefault="00FE7484">
    <w:pPr>
      <w:pStyle w:val="Heade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763312" o:spid="_x0000_s2049" type="#_x0000_t75" style="position:absolute;margin-left:0;margin-top:0;width:453.4pt;height:318.75pt;z-index:-2516582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A4BE5"/>
    <w:multiLevelType w:val="multilevel"/>
    <w:tmpl w:val="98905A9E"/>
    <w:lvl w:ilvl="0">
      <w:start w:val="1"/>
      <w:numFmt w:val="decimal"/>
      <w:lvlText w:val="%1."/>
      <w:lvlJc w:val="left"/>
      <w:pPr>
        <w:ind w:left="786"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1" w15:restartNumberingAfterBreak="0">
    <w:nsid w:val="3A7C6930"/>
    <w:multiLevelType w:val="hybridMultilevel"/>
    <w:tmpl w:val="62F23302"/>
    <w:lvl w:ilvl="0" w:tplc="0E38D65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15:restartNumberingAfterBreak="0">
    <w:nsid w:val="52B81C86"/>
    <w:multiLevelType w:val="multilevel"/>
    <w:tmpl w:val="488A4876"/>
    <w:lvl w:ilvl="0">
      <w:start w:val="1"/>
      <w:numFmt w:val="decimal"/>
      <w:lvlText w:val="%1."/>
      <w:lvlJc w:val="left"/>
      <w:pPr>
        <w:ind w:left="1068" w:hanging="360"/>
      </w:pPr>
      <w:rPr>
        <w:rFonts w:hint="default"/>
        <w:i/>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15:restartNumberingAfterBreak="0">
    <w:nsid w:val="61BD4ED1"/>
    <w:multiLevelType w:val="multilevel"/>
    <w:tmpl w:val="247CFAC2"/>
    <w:lvl w:ilvl="0">
      <w:start w:val="1"/>
      <w:numFmt w:val="decimal"/>
      <w:lvlText w:val="%1."/>
      <w:lvlJc w:val="left"/>
      <w:pPr>
        <w:ind w:left="928" w:hanging="360"/>
      </w:pPr>
      <w:rPr>
        <w:rFonts w:hint="default"/>
      </w:rPr>
    </w:lvl>
    <w:lvl w:ilvl="1">
      <w:start w:val="1"/>
      <w:numFmt w:val="decimal"/>
      <w:isLgl/>
      <w:lvlText w:val="%1.%2."/>
      <w:lvlJc w:val="left"/>
      <w:pPr>
        <w:ind w:left="1128" w:hanging="420"/>
      </w:pPr>
      <w:rPr>
        <w:rFonts w:eastAsia="Calibri" w:hint="default"/>
        <w:b w:val="0"/>
        <w:i w:val="0"/>
        <w:color w:val="auto"/>
        <w:sz w:val="24"/>
        <w:szCs w:val="24"/>
        <w:vertAlign w:val="baseline"/>
      </w:rPr>
    </w:lvl>
    <w:lvl w:ilvl="2">
      <w:start w:val="1"/>
      <w:numFmt w:val="decimal"/>
      <w:isLgl/>
      <w:lvlText w:val="%1.%2.%3."/>
      <w:lvlJc w:val="left"/>
      <w:pPr>
        <w:ind w:left="1431" w:hanging="720"/>
      </w:pPr>
      <w:rPr>
        <w:rFonts w:eastAsia="Calibri" w:hint="default"/>
        <w:i/>
        <w:color w:val="auto"/>
      </w:rPr>
    </w:lvl>
    <w:lvl w:ilvl="3">
      <w:start w:val="1"/>
      <w:numFmt w:val="decimal"/>
      <w:isLgl/>
      <w:lvlText w:val="%1.%2.%3.%4."/>
      <w:lvlJc w:val="left"/>
      <w:pPr>
        <w:ind w:left="1434" w:hanging="720"/>
      </w:pPr>
      <w:rPr>
        <w:rFonts w:eastAsia="Calibri" w:hint="default"/>
        <w:i/>
        <w:color w:val="auto"/>
      </w:rPr>
    </w:lvl>
    <w:lvl w:ilvl="4">
      <w:start w:val="1"/>
      <w:numFmt w:val="decimal"/>
      <w:isLgl/>
      <w:lvlText w:val="%1.%2.%3.%4.%5."/>
      <w:lvlJc w:val="left"/>
      <w:pPr>
        <w:ind w:left="1797" w:hanging="1080"/>
      </w:pPr>
      <w:rPr>
        <w:rFonts w:eastAsia="Calibri" w:hint="default"/>
        <w:i/>
        <w:color w:val="auto"/>
      </w:rPr>
    </w:lvl>
    <w:lvl w:ilvl="5">
      <w:start w:val="1"/>
      <w:numFmt w:val="decimal"/>
      <w:isLgl/>
      <w:lvlText w:val="%1.%2.%3.%4.%5.%6."/>
      <w:lvlJc w:val="left"/>
      <w:pPr>
        <w:ind w:left="1800" w:hanging="1080"/>
      </w:pPr>
      <w:rPr>
        <w:rFonts w:eastAsia="Calibri" w:hint="default"/>
        <w:i/>
        <w:color w:val="auto"/>
      </w:rPr>
    </w:lvl>
    <w:lvl w:ilvl="6">
      <w:start w:val="1"/>
      <w:numFmt w:val="decimal"/>
      <w:isLgl/>
      <w:lvlText w:val="%1.%2.%3.%4.%5.%6.%7."/>
      <w:lvlJc w:val="left"/>
      <w:pPr>
        <w:ind w:left="2163" w:hanging="1440"/>
      </w:pPr>
      <w:rPr>
        <w:rFonts w:eastAsia="Calibri" w:hint="default"/>
        <w:i/>
        <w:color w:val="auto"/>
      </w:rPr>
    </w:lvl>
    <w:lvl w:ilvl="7">
      <w:start w:val="1"/>
      <w:numFmt w:val="decimal"/>
      <w:isLgl/>
      <w:lvlText w:val="%1.%2.%3.%4.%5.%6.%7.%8."/>
      <w:lvlJc w:val="left"/>
      <w:pPr>
        <w:ind w:left="2166" w:hanging="1440"/>
      </w:pPr>
      <w:rPr>
        <w:rFonts w:eastAsia="Calibri" w:hint="default"/>
        <w:i/>
        <w:color w:val="auto"/>
      </w:rPr>
    </w:lvl>
    <w:lvl w:ilvl="8">
      <w:start w:val="1"/>
      <w:numFmt w:val="decimal"/>
      <w:isLgl/>
      <w:lvlText w:val="%1.%2.%3.%4.%5.%6.%7.%8.%9."/>
      <w:lvlJc w:val="left"/>
      <w:pPr>
        <w:ind w:left="2529" w:hanging="1800"/>
      </w:pPr>
      <w:rPr>
        <w:rFonts w:eastAsia="Calibri" w:hint="default"/>
        <w:i/>
        <w:color w:val="auto"/>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617"/>
    <w:rsid w:val="001B7389"/>
    <w:rsid w:val="001C3E68"/>
    <w:rsid w:val="001D2EEE"/>
    <w:rsid w:val="0021493B"/>
    <w:rsid w:val="00223938"/>
    <w:rsid w:val="00226A57"/>
    <w:rsid w:val="00286968"/>
    <w:rsid w:val="00316B30"/>
    <w:rsid w:val="00364910"/>
    <w:rsid w:val="003F5CA2"/>
    <w:rsid w:val="00476E8A"/>
    <w:rsid w:val="004E5728"/>
    <w:rsid w:val="005E1EFC"/>
    <w:rsid w:val="0060077B"/>
    <w:rsid w:val="006E1164"/>
    <w:rsid w:val="006E300F"/>
    <w:rsid w:val="00712302"/>
    <w:rsid w:val="00716E55"/>
    <w:rsid w:val="007E7617"/>
    <w:rsid w:val="00894670"/>
    <w:rsid w:val="00BC0D81"/>
    <w:rsid w:val="00CC0CCA"/>
    <w:rsid w:val="00CF0C83"/>
    <w:rsid w:val="00FE748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325CC8C-BBAF-408D-BCA2-DEB7F551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E7617"/>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basedOn w:val="DefaultParagraphFont"/>
    <w:link w:val="FootnoteText"/>
    <w:rsid w:val="007E7617"/>
    <w:rPr>
      <w:rFonts w:ascii="Times New Roman" w:eastAsia="Times New Roman" w:hAnsi="Times New Roman" w:cs="Times New Roman"/>
      <w:sz w:val="20"/>
      <w:szCs w:val="20"/>
      <w:lang w:eastAsia="bg-BG"/>
    </w:rPr>
  </w:style>
  <w:style w:type="character" w:styleId="FootnoteReference">
    <w:name w:val="footnote reference"/>
    <w:basedOn w:val="DefaultParagraphFont"/>
    <w:uiPriority w:val="99"/>
    <w:unhideWhenUsed/>
    <w:rsid w:val="007E7617"/>
    <w:rPr>
      <w:vertAlign w:val="superscript"/>
    </w:rPr>
  </w:style>
  <w:style w:type="table" w:styleId="TableGrid">
    <w:name w:val="Table Grid"/>
    <w:basedOn w:val="TableNormal"/>
    <w:uiPriority w:val="39"/>
    <w:rsid w:val="007E7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077B"/>
    <w:pPr>
      <w:ind w:left="720"/>
      <w:contextualSpacing/>
    </w:pPr>
  </w:style>
  <w:style w:type="character" w:styleId="Hyperlink">
    <w:name w:val="Hyperlink"/>
    <w:basedOn w:val="DefaultParagraphFont"/>
    <w:uiPriority w:val="99"/>
    <w:unhideWhenUsed/>
    <w:rsid w:val="001C3E68"/>
    <w:rPr>
      <w:color w:val="0563C1" w:themeColor="hyperlink"/>
      <w:u w:val="single"/>
    </w:rPr>
  </w:style>
  <w:style w:type="paragraph" w:styleId="Header">
    <w:name w:val="header"/>
    <w:basedOn w:val="Normal"/>
    <w:link w:val="HeaderChar"/>
    <w:uiPriority w:val="99"/>
    <w:unhideWhenUsed/>
    <w:rsid w:val="006E30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300F"/>
  </w:style>
  <w:style w:type="paragraph" w:styleId="Footer">
    <w:name w:val="footer"/>
    <w:basedOn w:val="Normal"/>
    <w:link w:val="FooterChar"/>
    <w:uiPriority w:val="99"/>
    <w:unhideWhenUsed/>
    <w:rsid w:val="006E30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3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cr.ro/files/products/D0997_0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D8C18-E2DE-4892-83DD-95F9D8DBF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3046</Words>
  <Characters>17366</Characters>
  <Application>Microsoft Office Word</Application>
  <DocSecurity>0</DocSecurity>
  <Lines>144</Lines>
  <Paragraphs>40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20372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Law_PPN2</cp:lastModifiedBy>
  <cp:revision>11</cp:revision>
  <cp:lastPrinted>2016-06-16T11:07:00Z</cp:lastPrinted>
  <dcterms:created xsi:type="dcterms:W3CDTF">2016-06-01T08:10:00Z</dcterms:created>
  <dcterms:modified xsi:type="dcterms:W3CDTF">2016-06-16T11:08:00Z</dcterms:modified>
</cp:coreProperties>
</file>