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9943D"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48E89DA9" w14:textId="77777777" w:rsidR="00AE1971" w:rsidRPr="00AE1971" w:rsidRDefault="00B66FB3" w:rsidP="00AE1971">
          <w:pPr>
            <w:tabs>
              <w:tab w:val="left" w:pos="5370"/>
            </w:tabs>
            <w:jc w:val="center"/>
            <w:rPr>
              <w:rFonts w:cs="Times New Roman"/>
              <w:szCs w:val="24"/>
              <w:lang w:val="bg-BG"/>
            </w:rPr>
          </w:pPr>
          <w:r>
            <w:rPr>
              <w:rStyle w:val="BookTitle"/>
              <w:sz w:val="36"/>
              <w:szCs w:val="36"/>
              <w:lang w:val="bg-BG"/>
            </w:rPr>
            <w:t>п</w:t>
          </w:r>
          <w:r w:rsidR="001905AF">
            <w:rPr>
              <w:rStyle w:val="BookTitle"/>
              <w:sz w:val="36"/>
              <w:szCs w:val="36"/>
              <w:lang w:val="bg-BG"/>
            </w:rPr>
            <w:t>раво на интелектуална собственост</w:t>
          </w:r>
        </w:p>
      </w:sdtContent>
    </w:sdt>
    <w:p w14:paraId="1EF52A66" w14:textId="77777777" w:rsidR="00AE1971" w:rsidRPr="00AE1971" w:rsidRDefault="00AE1971" w:rsidP="00AE1971">
      <w:pPr>
        <w:tabs>
          <w:tab w:val="left" w:pos="5370"/>
        </w:tabs>
        <w:rPr>
          <w:rFonts w:cs="Times New Roman"/>
          <w:szCs w:val="24"/>
          <w:lang w:val="bg-BG"/>
        </w:rPr>
      </w:pPr>
    </w:p>
    <w:p w14:paraId="3E6841E7"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B66FB3" w14:paraId="7D92CD61" w14:textId="77777777" w:rsidTr="00991FCB">
        <w:tc>
          <w:tcPr>
            <w:tcW w:w="6345" w:type="dxa"/>
            <w:vAlign w:val="center"/>
          </w:tcPr>
          <w:p w14:paraId="40B51342"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7DB0AABB"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905AF" w14:paraId="6466B43D" w14:textId="77777777" w:rsidTr="00991FCB">
        <w:trPr>
          <w:trHeight w:val="419"/>
        </w:trPr>
        <w:tc>
          <w:tcPr>
            <w:tcW w:w="6345" w:type="dxa"/>
            <w:vAlign w:val="center"/>
          </w:tcPr>
          <w:p w14:paraId="03DDEF6A"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74365BA5" w14:textId="233D7E3B" w:rsidR="000D1387" w:rsidRPr="00464F8A" w:rsidRDefault="008F305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905AF" w14:paraId="06A7A8C1" w14:textId="77777777" w:rsidTr="00991FCB">
        <w:trPr>
          <w:trHeight w:val="544"/>
        </w:trPr>
        <w:tc>
          <w:tcPr>
            <w:tcW w:w="6345" w:type="dxa"/>
            <w:shd w:val="clear" w:color="auto" w:fill="auto"/>
            <w:vAlign w:val="center"/>
          </w:tcPr>
          <w:p w14:paraId="531D6632"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9E6646E" w14:textId="77777777" w:rsidR="00A0317A" w:rsidRPr="00464F8A" w:rsidRDefault="001905AF" w:rsidP="00007DB0">
                <w:pPr>
                  <w:rPr>
                    <w:rFonts w:cs="Times New Roman"/>
                    <w:szCs w:val="24"/>
                    <w:lang w:val="bg-BG"/>
                  </w:rPr>
                </w:pPr>
                <w:r>
                  <w:rPr>
                    <w:rFonts w:cs="Times New Roman"/>
                    <w:szCs w:val="24"/>
                    <w:lang w:val="bg-BG"/>
                  </w:rPr>
                  <w:t>Задължителна</w:t>
                </w:r>
              </w:p>
            </w:tc>
          </w:sdtContent>
        </w:sdt>
      </w:tr>
      <w:tr w:rsidR="00FB1B8F" w:rsidRPr="00832055" w14:paraId="55E651C4" w14:textId="77777777" w:rsidTr="00991FCB">
        <w:trPr>
          <w:trHeight w:val="70"/>
        </w:trPr>
        <w:tc>
          <w:tcPr>
            <w:tcW w:w="6345" w:type="dxa"/>
            <w:shd w:val="clear" w:color="auto" w:fill="auto"/>
            <w:vAlign w:val="center"/>
          </w:tcPr>
          <w:p w14:paraId="6901B0F4"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00EE6D5E" w14:textId="77777777" w:rsidR="00FB1B8F" w:rsidRPr="00464F8A" w:rsidRDefault="001905AF" w:rsidP="001905AF">
                <w:pPr>
                  <w:rPr>
                    <w:rFonts w:cs="Times New Roman"/>
                    <w:szCs w:val="24"/>
                    <w:lang w:val="bg-BG"/>
                  </w:rPr>
                </w:pPr>
                <w:r>
                  <w:rPr>
                    <w:rFonts w:cs="Times New Roman"/>
                    <w:szCs w:val="24"/>
                    <w:lang w:val="bg-BG"/>
                  </w:rPr>
                  <w:t>Проф. дюн Цветана Каменова, проф. д-р Стефан Стефанов</w:t>
                </w:r>
              </w:p>
            </w:tc>
          </w:sdtContent>
        </w:sdt>
      </w:tr>
      <w:tr w:rsidR="00007DB0" w:rsidRPr="001905AF" w14:paraId="663F7764" w14:textId="77777777" w:rsidTr="00991FCB">
        <w:trPr>
          <w:trHeight w:val="579"/>
        </w:trPr>
        <w:tc>
          <w:tcPr>
            <w:tcW w:w="6345" w:type="dxa"/>
            <w:shd w:val="clear" w:color="auto" w:fill="auto"/>
            <w:vAlign w:val="center"/>
          </w:tcPr>
          <w:p w14:paraId="7FDBA2E5"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8051691" w14:textId="77777777" w:rsidR="00007DB0" w:rsidRPr="00464F8A" w:rsidRDefault="001905AF" w:rsidP="00043C61">
                <w:pPr>
                  <w:rPr>
                    <w:rFonts w:cs="Times New Roman"/>
                    <w:szCs w:val="24"/>
                    <w:lang w:val="bg-BG"/>
                  </w:rPr>
                </w:pPr>
                <w:r>
                  <w:rPr>
                    <w:rFonts w:cs="Times New Roman"/>
                    <w:szCs w:val="24"/>
                    <w:lang w:val="bg-BG"/>
                  </w:rPr>
                  <w:t>Един семестър</w:t>
                </w:r>
              </w:p>
            </w:tc>
          </w:sdtContent>
        </w:sdt>
      </w:tr>
      <w:tr w:rsidR="00007DB0" w:rsidRPr="001905AF" w14:paraId="48C4CEC7" w14:textId="77777777" w:rsidTr="00991FCB">
        <w:trPr>
          <w:trHeight w:val="360"/>
        </w:trPr>
        <w:tc>
          <w:tcPr>
            <w:tcW w:w="6345" w:type="dxa"/>
            <w:shd w:val="clear" w:color="auto" w:fill="auto"/>
            <w:vAlign w:val="center"/>
          </w:tcPr>
          <w:p w14:paraId="2BD41271"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01D44E19" w14:textId="77777777" w:rsidR="00007DB0" w:rsidRPr="00464F8A" w:rsidRDefault="001905AF" w:rsidP="00043C61">
                <w:pPr>
                  <w:rPr>
                    <w:rFonts w:cs="Times New Roman"/>
                    <w:szCs w:val="24"/>
                    <w:lang w:val="bg-BG"/>
                  </w:rPr>
                </w:pPr>
                <w:r>
                  <w:rPr>
                    <w:rFonts w:cs="Times New Roman"/>
                    <w:szCs w:val="24"/>
                    <w:lang w:val="bg-BG"/>
                  </w:rPr>
                  <w:t>Лекции и упражнения</w:t>
                </w:r>
              </w:p>
            </w:tc>
          </w:sdtContent>
        </w:sdt>
      </w:tr>
      <w:tr w:rsidR="00007DB0" w:rsidRPr="001905AF" w14:paraId="15C25786" w14:textId="77777777" w:rsidTr="00991FCB">
        <w:trPr>
          <w:trHeight w:val="483"/>
        </w:trPr>
        <w:tc>
          <w:tcPr>
            <w:tcW w:w="6345" w:type="dxa"/>
            <w:shd w:val="clear" w:color="auto" w:fill="auto"/>
            <w:vAlign w:val="center"/>
          </w:tcPr>
          <w:p w14:paraId="413D7CE4"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6EED0414" w14:textId="77777777" w:rsidR="00007DB0" w:rsidRPr="00464F8A" w:rsidRDefault="00B66FB3" w:rsidP="00043C61">
                <w:pPr>
                  <w:rPr>
                    <w:rFonts w:cs="Times New Roman"/>
                    <w:szCs w:val="24"/>
                    <w:lang w:val="bg-BG"/>
                  </w:rPr>
                </w:pPr>
                <w:r>
                  <w:rPr>
                    <w:rFonts w:cs="Times New Roman"/>
                    <w:szCs w:val="24"/>
                    <w:lang w:val="bg-BG"/>
                  </w:rPr>
                  <w:t>Да</w:t>
                </w:r>
              </w:p>
            </w:tc>
          </w:sdtContent>
        </w:sdt>
      </w:tr>
      <w:tr w:rsidR="00A0317A" w:rsidRPr="001905AF" w14:paraId="07733519" w14:textId="77777777" w:rsidTr="00991FCB">
        <w:trPr>
          <w:trHeight w:val="408"/>
        </w:trPr>
        <w:tc>
          <w:tcPr>
            <w:tcW w:w="6345" w:type="dxa"/>
            <w:shd w:val="clear" w:color="auto" w:fill="auto"/>
            <w:vAlign w:val="center"/>
          </w:tcPr>
          <w:p w14:paraId="5BA464A7"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4CB6449E" w14:textId="77777777" w:rsidR="00A0317A" w:rsidRPr="00464F8A" w:rsidRDefault="00B66FB3" w:rsidP="00043C61">
                <w:pPr>
                  <w:rPr>
                    <w:rFonts w:cs="Times New Roman"/>
                    <w:szCs w:val="24"/>
                    <w:lang w:val="bg-BG"/>
                  </w:rPr>
                </w:pPr>
                <w:r>
                  <w:rPr>
                    <w:rFonts w:cs="Times New Roman"/>
                    <w:szCs w:val="24"/>
                    <w:lang w:val="bg-BG"/>
                  </w:rPr>
                  <w:t>Да</w:t>
                </w:r>
              </w:p>
            </w:tc>
          </w:sdtContent>
        </w:sdt>
      </w:tr>
      <w:tr w:rsidR="000D1387" w:rsidRPr="001905AF" w14:paraId="228A5B2B" w14:textId="77777777" w:rsidTr="00991FCB">
        <w:trPr>
          <w:trHeight w:val="466"/>
        </w:trPr>
        <w:tc>
          <w:tcPr>
            <w:tcW w:w="6345" w:type="dxa"/>
            <w:vAlign w:val="center"/>
          </w:tcPr>
          <w:p w14:paraId="69C8AF6F"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52FF2DBC" w14:textId="42318EA3" w:rsidR="000D1387" w:rsidRPr="00464F8A" w:rsidRDefault="0057145A" w:rsidP="0057145A">
                <w:pPr>
                  <w:rPr>
                    <w:rFonts w:cs="Times New Roman"/>
                    <w:szCs w:val="24"/>
                    <w:lang w:val="bg-BG" w:eastAsia="zh-TW"/>
                  </w:rPr>
                </w:pPr>
                <w:r>
                  <w:rPr>
                    <w:rFonts w:cs="Times New Roman"/>
                    <w:szCs w:val="24"/>
                    <w:lang w:val="bg-BG"/>
                  </w:rPr>
                  <w:t>60</w:t>
                </w:r>
              </w:p>
            </w:tc>
          </w:sdtContent>
        </w:sdt>
      </w:tr>
    </w:tbl>
    <w:p w14:paraId="30D83A3E" w14:textId="77777777" w:rsidR="000D1387" w:rsidRPr="00414430" w:rsidRDefault="000D1387" w:rsidP="004526E8">
      <w:pPr>
        <w:jc w:val="both"/>
        <w:rPr>
          <w:rFonts w:cs="Times New Roman"/>
          <w:b/>
          <w:szCs w:val="24"/>
          <w:lang w:val="bg-BG" w:eastAsia="zh-TW"/>
        </w:rPr>
      </w:pPr>
    </w:p>
    <w:p w14:paraId="723F2A25"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7C40D489" w14:textId="77777777" w:rsidR="00B66FB3" w:rsidRPr="00B66FB3" w:rsidRDefault="00B66FB3" w:rsidP="00B66FB3">
          <w:pPr>
            <w:pStyle w:val="ListParagraph"/>
            <w:numPr>
              <w:ilvl w:val="0"/>
              <w:numId w:val="2"/>
            </w:numPr>
            <w:spacing w:after="160" w:line="259" w:lineRule="auto"/>
            <w:jc w:val="both"/>
            <w:rPr>
              <w:rFonts w:cs="Times New Roman"/>
              <w:szCs w:val="24"/>
              <w:lang w:val="bg-BG"/>
            </w:rPr>
          </w:pPr>
          <w:r w:rsidRPr="00B66FB3">
            <w:rPr>
              <w:rFonts w:cs="Times New Roman"/>
              <w:szCs w:val="24"/>
              <w:lang w:val="bg-BG"/>
            </w:rPr>
            <w:t>Обща характеристика на нематериалните блага като обект на правна закрила. Интелектуална собственост (индустриална собственост и авторско право) - определение и обекти на закрила.</w:t>
          </w:r>
        </w:p>
        <w:p w14:paraId="5E2678CA" w14:textId="77777777" w:rsidR="00B66FB3" w:rsidRPr="001148BB" w:rsidRDefault="00B66FB3" w:rsidP="00B66FB3">
          <w:pPr>
            <w:pStyle w:val="ListParagraph"/>
            <w:ind w:left="1070"/>
            <w:jc w:val="both"/>
            <w:rPr>
              <w:rFonts w:cs="Times New Roman"/>
              <w:b/>
              <w:szCs w:val="24"/>
            </w:rPr>
          </w:pPr>
          <w:r w:rsidRPr="001148BB">
            <w:rPr>
              <w:rFonts w:cs="Times New Roman"/>
              <w:b/>
              <w:szCs w:val="24"/>
            </w:rPr>
            <w:t>Право на индустриална собственост</w:t>
          </w:r>
        </w:p>
        <w:p w14:paraId="04F4C251"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Източници на патентно право. Организация на патентната система в България.</w:t>
          </w:r>
        </w:p>
        <w:p w14:paraId="3CCF443D"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Патентоспособни изобретения. Изключения от патентоспособност.</w:t>
          </w:r>
        </w:p>
        <w:p w14:paraId="7679B571"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Новост на изобретенията. Привилегия на новостта.</w:t>
          </w:r>
        </w:p>
        <w:p w14:paraId="3632B5B9"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Изобретателско равнище и промишлена приложимост на изобретенията.</w:t>
          </w:r>
        </w:p>
        <w:p w14:paraId="527255D8"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Служебни изобретения. Изобретателски принцип. Право на авторско възнаграждение.</w:t>
          </w:r>
        </w:p>
        <w:p w14:paraId="07541EEE"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Права, произтичащи от патента. Граници на патентната закрила. Преждеползване и послеползване. Срокове и прекратяване действието на патента.</w:t>
          </w:r>
        </w:p>
        <w:p w14:paraId="413353AC"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Патентоване в чужбина. Секретни патенти - понятие, издаване, разсекретяване.</w:t>
          </w:r>
        </w:p>
        <w:p w14:paraId="691DC4B3"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Прекратяване и обявяване недействителност на патента – основания и правни последици.</w:t>
          </w:r>
        </w:p>
        <w:p w14:paraId="360FF15A"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Нарушение на патентни права. Форми на контрол. Защита от нарушения.</w:t>
          </w:r>
        </w:p>
        <w:p w14:paraId="1CAAD9DF"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Лицензионна готовност и принудителна лицензия.</w:t>
          </w:r>
        </w:p>
        <w:p w14:paraId="6175011F"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Процедура по заявяване на патенти – формално-правни предпоставки, съдържание на заявката.</w:t>
          </w:r>
        </w:p>
        <w:p w14:paraId="60B8FC8B"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Оформяне на описанието и патентните претенции. Обхват на патентната закрила.</w:t>
          </w:r>
        </w:p>
        <w:p w14:paraId="33BD4B1F"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Право на приоритет. Видове приоритети.</w:t>
          </w:r>
        </w:p>
        <w:p w14:paraId="7FF7A9F1"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lastRenderedPageBreak/>
            <w:t>Експертиза по същество и решение на заявката. Публикации и такси по заявяването, издаването и поддържане на патентите.</w:t>
          </w:r>
        </w:p>
        <w:p w14:paraId="5B3F7FE8"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Спорове. Административен ред, органи и срокове.</w:t>
          </w:r>
        </w:p>
        <w:p w14:paraId="2E1ABCC7"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Съдебен контрол. Видове съдебни спорове и санкции.</w:t>
          </w:r>
        </w:p>
        <w:p w14:paraId="52C8DB6F"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Международни заявки по Договора за патентно коопериране (PCT) - международна и национална фаза.</w:t>
          </w:r>
        </w:p>
        <w:p w14:paraId="7E97138D"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Европейска патентна система. Европейски патент - заявяване, издаване и действие на патента.</w:t>
          </w:r>
        </w:p>
        <w:p w14:paraId="04D60D73"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 xml:space="preserve">Закрила на изобретенията като полезен модел – същност и критерии за регистрабилност. Различия от патентната закрила. </w:t>
          </w:r>
        </w:p>
        <w:p w14:paraId="22CEA6C2"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 xml:space="preserve">Подаване на заявки – документи по заявката. Паралелни заявки. Трансформация на заявки. Регистрация на полезни модели, срок на действие, прекратяване и недействителност. </w:t>
          </w:r>
        </w:p>
        <w:p w14:paraId="6CE019DF"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Прехвърляне на правата и лицензиране на патенти и полезни модели. Форма на прехвърлянето. Правна същност на лицензията. Видове лицензии.</w:t>
          </w:r>
        </w:p>
        <w:p w14:paraId="6C4D5F18"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Характеристика на лицензионния договор. Отграничаване на лицензионния договор от другите видове договори - продажба, наем, опция и дружество.</w:t>
          </w:r>
        </w:p>
        <w:p w14:paraId="6F4608E3"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Задължения на лицензодателя и отговорност за неизпълнение.</w:t>
          </w:r>
        </w:p>
        <w:p w14:paraId="6CCFDF54"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Задължения на лицензополучателя - форми на лицензионното възнаграждение и задължение за използване на лицензионния предмет и др.</w:t>
          </w:r>
        </w:p>
        <w:p w14:paraId="7DB784E2"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Клауза за най-облагодетелстваната страна по лицензионния договор. Арбитражна клауза и приложимото право при лицензионния договор.</w:t>
          </w:r>
        </w:p>
        <w:p w14:paraId="0471DD8C"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Поява и развитие на марките в света. Развитие на законодателството за закрила на марките в България. Източници на правно регулиране.</w:t>
          </w:r>
        </w:p>
        <w:p w14:paraId="1F4CF8B0"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Същност, определение и функции на марката. Видове марки.</w:t>
          </w:r>
        </w:p>
        <w:p w14:paraId="66ED2D96"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Абсолютни и относителни основания за отказ от регистрация на марки. Общоизвестни марки и марки ползващи се с известност в Р България.</w:t>
          </w:r>
        </w:p>
        <w:p w14:paraId="33FAAF6E"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Регистрация на марките - съдържание и приоритет на искането за регистрация. Експертиза по същество. Опозиция. Регистрация и публикация на регистрацията.</w:t>
          </w:r>
        </w:p>
        <w:p w14:paraId="3328E3EE"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Придобиване, същност и действие на правото върху марката. Права, произтичащи от регистрацията.</w:t>
          </w:r>
        </w:p>
        <w:p w14:paraId="42BCFA8D"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Понятие и форми на нарушаване правото върху търговската марка. Видове отговорност.</w:t>
          </w:r>
        </w:p>
        <w:p w14:paraId="66E4CBF0"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Прекратяване, отмяна и заличаване на правото върху марката.</w:t>
          </w:r>
        </w:p>
        <w:p w14:paraId="7270926C"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Прехвърляне и лицензиране на правото върху марката.</w:t>
          </w:r>
        </w:p>
        <w:p w14:paraId="63AE2A13"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Същност и определение на нелоялната конкуренция. Генерална клауза - предпоставки на фактическия състав и функции.</w:t>
          </w:r>
        </w:p>
        <w:p w14:paraId="2B910A06"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Действия, съставляващи в частност нелоялна конкуренция.</w:t>
          </w:r>
        </w:p>
        <w:p w14:paraId="763A49F7" w14:textId="77777777" w:rsidR="00B66FB3"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Държавно въздействие срещу нелоялната конкуренция - Комисия за защита на конкуренцията. Съдебна и административно-наказателна отговорност. Имуществени санкции.</w:t>
          </w:r>
        </w:p>
        <w:p w14:paraId="35347501" w14:textId="77777777" w:rsidR="00B66FB3" w:rsidRPr="001148BB" w:rsidRDefault="00B66FB3" w:rsidP="00B66FB3">
          <w:pPr>
            <w:pStyle w:val="ListParagraph"/>
            <w:ind w:left="1070"/>
            <w:jc w:val="both"/>
            <w:rPr>
              <w:rFonts w:cs="Times New Roman"/>
              <w:b/>
              <w:szCs w:val="24"/>
            </w:rPr>
          </w:pPr>
          <w:r w:rsidRPr="001148BB">
            <w:rPr>
              <w:rFonts w:cs="Times New Roman"/>
              <w:b/>
              <w:szCs w:val="24"/>
            </w:rPr>
            <w:t>Авторско право</w:t>
          </w:r>
        </w:p>
        <w:p w14:paraId="38796CF9"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Развитие на защитата на авторското право в България. – от Освобождението до 1993 г.</w:t>
          </w:r>
        </w:p>
        <w:p w14:paraId="25565C7B"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lastRenderedPageBreak/>
            <w:t>Характерни особености на ЗАПСП от 1993 г.</w:t>
          </w:r>
        </w:p>
        <w:p w14:paraId="7D26B438"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 xml:space="preserve">Обекти на авторското право </w:t>
          </w:r>
        </w:p>
        <w:p w14:paraId="50DCCADE"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Носители на авторското право</w:t>
          </w:r>
        </w:p>
        <w:p w14:paraId="415F90AC"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Съавторство</w:t>
          </w:r>
        </w:p>
        <w:p w14:paraId="0A3DF127"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Носители на авторското право върху непубликувани произведения и върху филми</w:t>
          </w:r>
        </w:p>
        <w:p w14:paraId="05591068"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 xml:space="preserve">Юридическите лица като носители на авторското право </w:t>
          </w:r>
        </w:p>
        <w:p w14:paraId="44D711D7"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Колективно управление на авторските права – възникване и развитие</w:t>
          </w:r>
        </w:p>
        <w:p w14:paraId="09D43775"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Колективно управление на авторските права – видове</w:t>
          </w:r>
        </w:p>
        <w:p w14:paraId="2D602885"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Съдържание на авторското право - неимуществени права на авторите</w:t>
          </w:r>
        </w:p>
        <w:p w14:paraId="5CFF45D0"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Съдържание на авторското право - имуществени права на авторите</w:t>
          </w:r>
        </w:p>
        <w:p w14:paraId="4826320D"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Ограничения на авторското право – времетраене</w:t>
          </w:r>
        </w:p>
        <w:p w14:paraId="7C5AEF5D"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Ограничения на авторското право – свободно използване на произведенията</w:t>
          </w:r>
        </w:p>
        <w:p w14:paraId="479DD066"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Авторски договори – задължения на страните</w:t>
          </w:r>
        </w:p>
        <w:p w14:paraId="0C50BE96"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Произведения, създадени в рамките на трудово правоотношение</w:t>
          </w:r>
        </w:p>
        <w:p w14:paraId="10AC38B1"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Издателски договори</w:t>
          </w:r>
        </w:p>
        <w:p w14:paraId="3A079A9E"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Видове договори, уредени от закона</w:t>
          </w:r>
        </w:p>
        <w:p w14:paraId="50C381B4"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Закрила на сродните права – поява и правна характеристика</w:t>
          </w:r>
        </w:p>
        <w:p w14:paraId="7753BC37"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Закрила на правата на артистите изпълнители</w:t>
          </w:r>
        </w:p>
        <w:p w14:paraId="62688469"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Закрила на правата на продуцентите</w:t>
          </w:r>
        </w:p>
        <w:p w14:paraId="5EACA8DA"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Закрила на радио и телевизионните организации. Закрила на особени сродни права</w:t>
          </w:r>
        </w:p>
        <w:p w14:paraId="20D6A4F0"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Правна уредба на защитата на авторското право и сродните му права – гражданско-правни способи за защита</w:t>
          </w:r>
        </w:p>
        <w:p w14:paraId="65825AAF" w14:textId="77777777" w:rsidR="00B66FB3" w:rsidRPr="001148BB"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Правна уредба на защитата на авторското право и сродните му права – наказателно-правна защита</w:t>
          </w:r>
        </w:p>
        <w:p w14:paraId="54DDE110" w14:textId="77777777" w:rsidR="00B66FB3" w:rsidRDefault="00B66FB3" w:rsidP="00B66FB3">
          <w:pPr>
            <w:pStyle w:val="ListParagraph"/>
            <w:numPr>
              <w:ilvl w:val="0"/>
              <w:numId w:val="2"/>
            </w:numPr>
            <w:spacing w:after="160" w:line="259" w:lineRule="auto"/>
            <w:jc w:val="both"/>
            <w:rPr>
              <w:rFonts w:cs="Times New Roman"/>
              <w:szCs w:val="24"/>
            </w:rPr>
          </w:pPr>
          <w:r w:rsidRPr="001148BB">
            <w:rPr>
              <w:rFonts w:cs="Times New Roman"/>
              <w:szCs w:val="24"/>
            </w:rPr>
            <w:t>Правна уредба на защитата на авторското право и сродните му права - административно-правни мерки</w:t>
          </w:r>
        </w:p>
        <w:p w14:paraId="5F0FF575" w14:textId="77777777" w:rsidR="00DA6080" w:rsidRPr="001905AF" w:rsidRDefault="00D858A1" w:rsidP="0068766E">
          <w:pPr>
            <w:tabs>
              <w:tab w:val="left" w:pos="6900"/>
            </w:tabs>
            <w:jc w:val="both"/>
            <w:rPr>
              <w:lang w:val="bg-BG"/>
            </w:rPr>
          </w:pPr>
        </w:p>
      </w:sdtContent>
    </w:sdt>
    <w:p w14:paraId="024870C2" w14:textId="77777777" w:rsidR="00FF4CA3" w:rsidRDefault="00FF4CA3" w:rsidP="00DA6080">
      <w:pPr>
        <w:tabs>
          <w:tab w:val="left" w:pos="6900"/>
        </w:tabs>
        <w:rPr>
          <w:rFonts w:cs="Times New Roman"/>
          <w:b/>
          <w:szCs w:val="24"/>
          <w:lang w:val="bg-BG"/>
        </w:rPr>
      </w:pPr>
    </w:p>
    <w:p w14:paraId="301A817E"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14:paraId="6849CC43" w14:textId="2DBDF64E" w:rsidR="0057145A" w:rsidRPr="0057145A" w:rsidRDefault="0057145A" w:rsidP="0057145A">
          <w:pPr>
            <w:jc w:val="both"/>
            <w:rPr>
              <w:rFonts w:cs="Times New Roman"/>
              <w:szCs w:val="24"/>
              <w:lang w:val="bg-BG"/>
            </w:rPr>
          </w:pPr>
          <w:r>
            <w:rPr>
              <w:rFonts w:cs="Times New Roman"/>
              <w:szCs w:val="24"/>
              <w:lang w:val="bg-BG"/>
            </w:rPr>
            <w:t xml:space="preserve">1. </w:t>
          </w:r>
          <w:r w:rsidRPr="0057145A">
            <w:rPr>
              <w:rFonts w:cs="Times New Roman"/>
              <w:szCs w:val="24"/>
              <w:lang w:val="bg-BG"/>
            </w:rPr>
            <w:t>Интелектуална собственост (ИнСо) - специализирано списание на Патентното ве-домство, София.</w:t>
          </w:r>
        </w:p>
        <w:p w14:paraId="722E0678" w14:textId="33F15BC1" w:rsidR="0057145A" w:rsidRPr="0057145A" w:rsidRDefault="0057145A" w:rsidP="0057145A">
          <w:pPr>
            <w:jc w:val="both"/>
            <w:rPr>
              <w:rFonts w:cs="Times New Roman"/>
              <w:szCs w:val="24"/>
              <w:lang w:val="bg-BG"/>
            </w:rPr>
          </w:pPr>
          <w:r>
            <w:rPr>
              <w:rFonts w:cs="Times New Roman"/>
              <w:szCs w:val="24"/>
              <w:lang w:val="bg-BG"/>
            </w:rPr>
            <w:t xml:space="preserve">2. </w:t>
          </w:r>
          <w:r w:rsidRPr="0057145A">
            <w:rPr>
              <w:rFonts w:cs="Times New Roman"/>
              <w:szCs w:val="24"/>
              <w:lang w:val="bg-BG"/>
            </w:rPr>
            <w:t xml:space="preserve">Стефанов, Ст.: Лицензиране на търговски марки, сп. „ИнСо“, София 1993, кн. 6. </w:t>
          </w:r>
        </w:p>
        <w:p w14:paraId="6ABB2B84" w14:textId="1B606FC4" w:rsidR="0057145A" w:rsidRPr="0057145A" w:rsidRDefault="0057145A" w:rsidP="0057145A">
          <w:pPr>
            <w:jc w:val="both"/>
            <w:rPr>
              <w:rFonts w:cs="Times New Roman"/>
              <w:szCs w:val="24"/>
              <w:lang w:val="bg-BG"/>
            </w:rPr>
          </w:pPr>
          <w:r>
            <w:rPr>
              <w:rFonts w:cs="Times New Roman"/>
              <w:szCs w:val="24"/>
              <w:lang w:val="bg-BG"/>
            </w:rPr>
            <w:t xml:space="preserve">3. </w:t>
          </w:r>
          <w:r w:rsidRPr="0057145A">
            <w:rPr>
              <w:rFonts w:cs="Times New Roman"/>
              <w:szCs w:val="24"/>
              <w:lang w:val="bg-BG"/>
            </w:rPr>
            <w:t>Стефанов, Ст./Стефанова, Д.: Лицензионни договори – валидност и вписване, сбор-ник-доклади от конференция в Созопол, 22-24.06.2011, ТУ-София.</w:t>
          </w:r>
        </w:p>
        <w:p w14:paraId="298165F5" w14:textId="55661B8E" w:rsidR="0057145A" w:rsidRPr="0057145A" w:rsidRDefault="0057145A" w:rsidP="0057145A">
          <w:pPr>
            <w:jc w:val="both"/>
            <w:rPr>
              <w:rFonts w:cs="Times New Roman"/>
              <w:szCs w:val="24"/>
              <w:lang w:val="bg-BG"/>
            </w:rPr>
          </w:pPr>
          <w:r>
            <w:rPr>
              <w:rFonts w:cs="Times New Roman"/>
              <w:szCs w:val="24"/>
              <w:lang w:val="bg-BG"/>
            </w:rPr>
            <w:t xml:space="preserve">4. </w:t>
          </w:r>
          <w:r w:rsidRPr="0057145A">
            <w:rPr>
              <w:rFonts w:cs="Times New Roman"/>
              <w:szCs w:val="24"/>
              <w:lang w:val="bg-BG"/>
            </w:rPr>
            <w:t>Стефанов, Ст.: Усъвършенстване на българското законодателство за закрила на по-лезните модели, сп. „ИнСо“, София 2004, кн. 4.</w:t>
          </w:r>
        </w:p>
        <w:p w14:paraId="64313D45" w14:textId="7F48C9DD" w:rsidR="0057145A" w:rsidRPr="0057145A" w:rsidRDefault="0057145A" w:rsidP="0057145A">
          <w:pPr>
            <w:jc w:val="both"/>
            <w:rPr>
              <w:rFonts w:cs="Times New Roman"/>
              <w:szCs w:val="24"/>
              <w:lang w:val="bg-BG"/>
            </w:rPr>
          </w:pPr>
          <w:r>
            <w:rPr>
              <w:rFonts w:cs="Times New Roman"/>
              <w:szCs w:val="24"/>
              <w:lang w:val="bg-BG"/>
            </w:rPr>
            <w:t xml:space="preserve">5. </w:t>
          </w:r>
          <w:r w:rsidRPr="0057145A">
            <w:rPr>
              <w:rFonts w:cs="Times New Roman"/>
              <w:szCs w:val="24"/>
              <w:lang w:val="bg-BG"/>
            </w:rPr>
            <w:t>Стефанов, Ст.: Изобретателска стъпка – необходим критерий за закрила на полезни-те модели, издателство на УНСС, София 2006 г.</w:t>
          </w:r>
        </w:p>
        <w:p w14:paraId="50087507" w14:textId="178E9FC2" w:rsidR="0057145A" w:rsidRPr="0057145A" w:rsidRDefault="0057145A" w:rsidP="0057145A">
          <w:pPr>
            <w:jc w:val="both"/>
            <w:rPr>
              <w:rFonts w:cs="Times New Roman"/>
              <w:szCs w:val="24"/>
              <w:lang w:val="bg-BG"/>
            </w:rPr>
          </w:pPr>
          <w:r>
            <w:rPr>
              <w:rFonts w:cs="Times New Roman"/>
              <w:szCs w:val="24"/>
              <w:lang w:val="bg-BG"/>
            </w:rPr>
            <w:t xml:space="preserve">6. </w:t>
          </w:r>
          <w:r w:rsidRPr="0057145A">
            <w:rPr>
              <w:rFonts w:cs="Times New Roman"/>
              <w:szCs w:val="24"/>
              <w:lang w:val="bg-BG"/>
            </w:rPr>
            <w:t>Каменова, Ц.: Авторско право, ИПН при БАН, София 2004 г.</w:t>
          </w:r>
        </w:p>
        <w:p w14:paraId="6F7E7C22" w14:textId="78CBAA3C" w:rsidR="0057145A" w:rsidRPr="0057145A" w:rsidRDefault="0057145A" w:rsidP="0057145A">
          <w:pPr>
            <w:jc w:val="both"/>
            <w:rPr>
              <w:rFonts w:cs="Times New Roman"/>
              <w:szCs w:val="24"/>
              <w:lang w:val="bg-BG"/>
            </w:rPr>
          </w:pPr>
          <w:r>
            <w:rPr>
              <w:rFonts w:cs="Times New Roman"/>
              <w:szCs w:val="24"/>
              <w:lang w:val="bg-BG"/>
            </w:rPr>
            <w:t xml:space="preserve">7. </w:t>
          </w:r>
          <w:r w:rsidRPr="0057145A">
            <w:rPr>
              <w:rFonts w:cs="Times New Roman"/>
              <w:szCs w:val="24"/>
              <w:lang w:val="bg-BG"/>
            </w:rPr>
            <w:t>Павлова, М.: Патентно право, София 2000 г.</w:t>
          </w:r>
        </w:p>
        <w:p w14:paraId="626D2873" w14:textId="604EA9A1" w:rsidR="0057145A" w:rsidRPr="0057145A" w:rsidRDefault="0057145A" w:rsidP="0057145A">
          <w:pPr>
            <w:jc w:val="both"/>
            <w:rPr>
              <w:rFonts w:cs="Times New Roman"/>
              <w:szCs w:val="24"/>
              <w:lang w:val="bg-BG"/>
            </w:rPr>
          </w:pPr>
          <w:r>
            <w:rPr>
              <w:rFonts w:cs="Times New Roman"/>
              <w:szCs w:val="24"/>
              <w:lang w:val="bg-BG"/>
            </w:rPr>
            <w:lastRenderedPageBreak/>
            <w:t xml:space="preserve">8. </w:t>
          </w:r>
          <w:r w:rsidRPr="0057145A">
            <w:rPr>
              <w:rFonts w:cs="Times New Roman"/>
              <w:szCs w:val="24"/>
              <w:lang w:val="bg-BG"/>
            </w:rPr>
            <w:t>Сп. Авторско право</w:t>
          </w:r>
        </w:p>
        <w:p w14:paraId="10B5A69C" w14:textId="5C0C5109" w:rsidR="0057145A" w:rsidRPr="0057145A" w:rsidRDefault="0057145A" w:rsidP="0057145A">
          <w:pPr>
            <w:jc w:val="both"/>
            <w:rPr>
              <w:rFonts w:cs="Times New Roman"/>
              <w:szCs w:val="24"/>
              <w:lang w:val="bg-BG"/>
            </w:rPr>
          </w:pPr>
          <w:r>
            <w:rPr>
              <w:rFonts w:cs="Times New Roman"/>
              <w:szCs w:val="24"/>
              <w:lang w:val="bg-BG"/>
            </w:rPr>
            <w:t xml:space="preserve">9. </w:t>
          </w:r>
          <w:r w:rsidRPr="0057145A">
            <w:rPr>
              <w:rFonts w:cs="Times New Roman"/>
              <w:szCs w:val="24"/>
              <w:lang w:val="bg-BG"/>
            </w:rPr>
            <w:t>Саракинов, Г.: Патентно право в Р България, СИБИ, София 2010 г.</w:t>
          </w:r>
        </w:p>
        <w:p w14:paraId="03E68F67" w14:textId="264FBE56" w:rsidR="00071625" w:rsidRDefault="0057145A" w:rsidP="0057145A">
          <w:pPr>
            <w:jc w:val="both"/>
            <w:rPr>
              <w:rFonts w:cs="Times New Roman"/>
              <w:szCs w:val="24"/>
              <w:lang w:val="bg-BG"/>
            </w:rPr>
          </w:pPr>
          <w:r>
            <w:rPr>
              <w:rFonts w:cs="Times New Roman"/>
              <w:szCs w:val="24"/>
              <w:lang w:val="bg-BG"/>
            </w:rPr>
            <w:t xml:space="preserve">10. </w:t>
          </w:r>
          <w:r w:rsidRPr="0057145A">
            <w:rPr>
              <w:rFonts w:cs="Times New Roman"/>
              <w:szCs w:val="24"/>
              <w:lang w:val="bg-BG"/>
            </w:rPr>
            <w:t>Стефанов, Ст.: Международна закрила на полезните модели, ТУ София, София 2014</w:t>
          </w:r>
        </w:p>
      </w:sdtContent>
    </w:sdt>
    <w:p w14:paraId="3F18179E" w14:textId="77777777" w:rsidR="00584CAD" w:rsidRDefault="00584CAD" w:rsidP="003D64E1">
      <w:pPr>
        <w:rPr>
          <w:rFonts w:cs="Times New Roman"/>
          <w:b/>
          <w:szCs w:val="24"/>
          <w:lang w:val="bg-BG" w:eastAsia="zh-TW"/>
        </w:rPr>
      </w:pPr>
    </w:p>
    <w:p w14:paraId="1A4EE0E4"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5F16522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765AC5BC" w14:textId="0DB50258" w:rsidR="00FB1D2B" w:rsidRPr="00CD1EBE" w:rsidRDefault="0057145A" w:rsidP="00FB1D2B">
          <w:pPr>
            <w:jc w:val="both"/>
            <w:rPr>
              <w:rFonts w:cs="Times New Roman"/>
              <w:szCs w:val="24"/>
              <w:lang w:val="bg-BG"/>
            </w:rPr>
          </w:pPr>
          <w:r w:rsidRPr="0057145A">
            <w:rPr>
              <w:rFonts w:cs="Times New Roman"/>
              <w:szCs w:val="24"/>
              <w:lang w:val="bg-BG"/>
            </w:rPr>
            <w:t>Предвиждат се два колоквиума</w:t>
          </w:r>
          <w:r>
            <w:rPr>
              <w:rFonts w:cs="Times New Roman"/>
              <w:szCs w:val="24"/>
              <w:lang w:val="bg-BG"/>
            </w:rPr>
            <w:t xml:space="preserve"> (междинни писмени тестове) -</w:t>
          </w:r>
          <w:r w:rsidRPr="0057145A">
            <w:rPr>
              <w:rFonts w:cs="Times New Roman"/>
              <w:szCs w:val="24"/>
              <w:lang w:val="bg-BG"/>
            </w:rPr>
            <w:t xml:space="preserve"> след преподаване н</w:t>
          </w:r>
          <w:r>
            <w:rPr>
              <w:rFonts w:cs="Times New Roman"/>
              <w:szCs w:val="24"/>
              <w:lang w:val="bg-BG"/>
            </w:rPr>
            <w:t>а материята по индустриална соб</w:t>
          </w:r>
          <w:r w:rsidRPr="0057145A">
            <w:rPr>
              <w:rFonts w:cs="Times New Roman"/>
              <w:szCs w:val="24"/>
              <w:lang w:val="bg-BG"/>
            </w:rPr>
            <w:t>ственост и след приключване на материята по авторското право и сродните му права</w:t>
          </w:r>
          <w:r>
            <w:rPr>
              <w:rFonts w:cs="Times New Roman"/>
              <w:szCs w:val="24"/>
              <w:lang w:val="bg-BG"/>
            </w:rPr>
            <w:t>, при което стъдентът трябва да е отговорил правилно поне на половината от въпросите.</w:t>
          </w:r>
        </w:p>
      </w:sdtContent>
    </w:sdt>
    <w:p w14:paraId="1360AB25" w14:textId="77777777" w:rsidR="00FF4CA3" w:rsidRDefault="00FF4CA3" w:rsidP="00AE1971">
      <w:pPr>
        <w:rPr>
          <w:rFonts w:cs="Times New Roman"/>
          <w:szCs w:val="24"/>
          <w:lang w:val="bg-BG"/>
        </w:rPr>
      </w:pPr>
    </w:p>
    <w:p w14:paraId="7E926901"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51D33EE7" w14:textId="4CD77108" w:rsidR="007356CE" w:rsidRDefault="0057145A"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3021015B" w14:textId="77777777" w:rsidR="0089661E" w:rsidRDefault="00407C97" w:rsidP="007819E1">
          <w:pPr>
            <w:jc w:val="both"/>
            <w:rPr>
              <w:rFonts w:cs="Times New Roman"/>
              <w:szCs w:val="24"/>
              <w:lang w:val="bg-BG"/>
            </w:rPr>
          </w:pPr>
          <w:r>
            <w:t xml:space="preserve"> </w:t>
          </w:r>
        </w:p>
      </w:sdtContent>
    </w:sdt>
    <w:p w14:paraId="7D3DC6F0" w14:textId="77777777" w:rsidR="00100BC6" w:rsidRPr="00100BC6" w:rsidRDefault="00100BC6" w:rsidP="00321ED2">
      <w:pPr>
        <w:tabs>
          <w:tab w:val="left" w:pos="7695"/>
        </w:tabs>
        <w:rPr>
          <w:rFonts w:cs="Times New Roman"/>
          <w:sz w:val="10"/>
          <w:szCs w:val="10"/>
          <w:lang w:val="bg-BG"/>
        </w:rPr>
      </w:pPr>
    </w:p>
    <w:p w14:paraId="4605DEF2"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A46CA32" w14:textId="4E470F61" w:rsidR="00071625" w:rsidRDefault="008F3056" w:rsidP="00FF4CA3">
          <w:pPr>
            <w:jc w:val="both"/>
            <w:rPr>
              <w:rFonts w:cs="Times New Roman"/>
              <w:szCs w:val="24"/>
              <w:lang w:val="bg-BG"/>
            </w:rPr>
          </w:pPr>
          <w:r>
            <w:rPr>
              <w:rFonts w:cs="Times New Roman"/>
              <w:szCs w:val="24"/>
              <w:lang w:val="bg-BG"/>
            </w:rPr>
            <w:t>Писмен затворен тест по индустриална собственост и два отворени въпроса по АПСП</w:t>
          </w:r>
        </w:p>
      </w:sdtContent>
    </w:sdt>
    <w:p w14:paraId="38C7C9AA"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63904F01"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3233C7CF" w14:textId="5EF43E86" w:rsidR="00DA6080" w:rsidRDefault="008F3056" w:rsidP="00FF4CA3">
          <w:pPr>
            <w:jc w:val="both"/>
            <w:rPr>
              <w:rFonts w:cs="Times New Roman"/>
              <w:szCs w:val="24"/>
              <w:lang w:val="bg-BG"/>
            </w:rPr>
          </w:pPr>
          <w:r>
            <w:rPr>
              <w:rFonts w:cs="Times New Roman"/>
              <w:szCs w:val="24"/>
              <w:lang w:val="bg-BG"/>
            </w:rPr>
            <w:t>П</w:t>
          </w:r>
          <w:r w:rsidRPr="008F3056">
            <w:rPr>
              <w:rFonts w:cs="Times New Roman"/>
              <w:szCs w:val="24"/>
              <w:lang w:val="bg-BG"/>
            </w:rPr>
            <w:t xml:space="preserve">ознаване на </w:t>
          </w:r>
          <w:r>
            <w:rPr>
              <w:rFonts w:cs="Times New Roman"/>
              <w:szCs w:val="24"/>
              <w:lang w:val="bg-BG"/>
            </w:rPr>
            <w:t xml:space="preserve">правото в </w:t>
          </w:r>
          <w:r w:rsidRPr="008F3056">
            <w:rPr>
              <w:rFonts w:cs="Times New Roman"/>
              <w:szCs w:val="24"/>
              <w:lang w:val="bg-BG"/>
            </w:rPr>
            <w:t>двете области</w:t>
          </w:r>
          <w:r>
            <w:rPr>
              <w:rFonts w:cs="Times New Roman"/>
              <w:szCs w:val="24"/>
              <w:lang w:val="bg-BG"/>
            </w:rPr>
            <w:t xml:space="preserve"> на интелектуалната собственост – Индустриалнатата собственост и АПСП. При липса на правилно отговорени въпроси в една от двете области изпитът се оценява със слаба оценка и не се счита за издържан.</w:t>
          </w:r>
        </w:p>
      </w:sdtContent>
    </w:sdt>
    <w:p w14:paraId="07852000" w14:textId="77777777" w:rsidR="00DA6080" w:rsidRDefault="00DA6080">
      <w:pPr>
        <w:rPr>
          <w:rFonts w:cs="Times New Roman"/>
          <w:szCs w:val="24"/>
          <w:lang w:val="bg-BG"/>
        </w:rPr>
      </w:pPr>
    </w:p>
    <w:p w14:paraId="192964A3"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64068360" w14:textId="3ADD409E" w:rsidR="00DA511D" w:rsidRDefault="008F3056" w:rsidP="00470C68">
          <w:pPr>
            <w:jc w:val="both"/>
            <w:rPr>
              <w:rFonts w:cs="Times New Roman"/>
              <w:szCs w:val="24"/>
              <w:lang w:val="bg-BG"/>
            </w:rPr>
          </w:pPr>
          <w:r>
            <w:rPr>
              <w:rFonts w:cs="Times New Roman"/>
              <w:szCs w:val="24"/>
              <w:lang w:val="bg-BG"/>
            </w:rPr>
            <w:t>Не се поставят особени изисквания</w:t>
          </w:r>
        </w:p>
      </w:sdtContent>
    </w:sdt>
    <w:p w14:paraId="68EAE29F" w14:textId="77777777" w:rsidR="00DA511D" w:rsidRPr="00DA511D" w:rsidRDefault="00DA511D">
      <w:pPr>
        <w:rPr>
          <w:rFonts w:cs="Times New Roman"/>
          <w:szCs w:val="24"/>
          <w:lang w:val="bg-BG"/>
        </w:rPr>
      </w:pPr>
    </w:p>
    <w:p w14:paraId="1604EB6B"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55C832CC" w14:textId="77777777" w:rsidR="00676627" w:rsidRDefault="00676627" w:rsidP="00E8078F">
      <w:pPr>
        <w:tabs>
          <w:tab w:val="left" w:pos="1500"/>
        </w:tabs>
        <w:jc w:val="both"/>
        <w:rPr>
          <w:rFonts w:cs="Times New Roman"/>
          <w:sz w:val="20"/>
          <w:szCs w:val="20"/>
          <w:lang w:val="bg-BG"/>
        </w:rPr>
      </w:pPr>
    </w:p>
    <w:p w14:paraId="7C51AE86"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64A13287"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71C5BF5"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36008399"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4CC543E5" w14:textId="77777777" w:rsidR="00E8078F" w:rsidRPr="00E8078F" w:rsidRDefault="00E8078F" w:rsidP="00E8078F">
      <w:pPr>
        <w:tabs>
          <w:tab w:val="left" w:pos="1500"/>
        </w:tabs>
        <w:jc w:val="both"/>
        <w:rPr>
          <w:rFonts w:cs="Times New Roman"/>
          <w:sz w:val="20"/>
          <w:szCs w:val="20"/>
          <w:lang w:val="bg-BG"/>
        </w:rPr>
      </w:pPr>
    </w:p>
    <w:p w14:paraId="46CA94B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64B6FE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5B498BEE"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1475" w14:textId="77777777" w:rsidR="00D858A1" w:rsidRDefault="00D858A1" w:rsidP="00F44CAE">
      <w:pPr>
        <w:spacing w:after="0" w:line="240" w:lineRule="auto"/>
      </w:pPr>
      <w:r>
        <w:separator/>
      </w:r>
    </w:p>
  </w:endnote>
  <w:endnote w:type="continuationSeparator" w:id="0">
    <w:p w14:paraId="7F3A57F8" w14:textId="77777777" w:rsidR="00D858A1" w:rsidRDefault="00D858A1"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8377" w14:textId="06D34835" w:rsidR="00DC03AF" w:rsidRDefault="00DC03AF">
    <w:pPr>
      <w:pStyle w:val="Footer"/>
      <w:jc w:val="right"/>
    </w:pPr>
    <w:r>
      <w:fldChar w:fldCharType="begin"/>
    </w:r>
    <w:r>
      <w:instrText xml:space="preserve"> PAGE   \* MERGEFORMAT </w:instrText>
    </w:r>
    <w:r>
      <w:fldChar w:fldCharType="separate"/>
    </w:r>
    <w:r w:rsidR="00832055">
      <w:rPr>
        <w:noProof/>
      </w:rPr>
      <w:t>1</w:t>
    </w:r>
    <w:r>
      <w:rPr>
        <w:noProof/>
      </w:rPr>
      <w:fldChar w:fldCharType="end"/>
    </w:r>
  </w:p>
  <w:p w14:paraId="728B356F"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9E7D" w14:textId="77777777" w:rsidR="00D858A1" w:rsidRDefault="00D858A1" w:rsidP="00F44CAE">
      <w:pPr>
        <w:spacing w:after="0" w:line="240" w:lineRule="auto"/>
      </w:pPr>
      <w:r>
        <w:separator/>
      </w:r>
    </w:p>
  </w:footnote>
  <w:footnote w:type="continuationSeparator" w:id="0">
    <w:p w14:paraId="5E7C3788" w14:textId="77777777" w:rsidR="00D858A1" w:rsidRDefault="00D858A1"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61E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35F1BB6D"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716B1"/>
    <w:multiLevelType w:val="hybridMultilevel"/>
    <w:tmpl w:val="FDF409EC"/>
    <w:lvl w:ilvl="0" w:tplc="14FA2C04">
      <w:start w:val="1"/>
      <w:numFmt w:val="decimal"/>
      <w:lvlText w:val="%1."/>
      <w:lvlJc w:val="left"/>
      <w:pPr>
        <w:ind w:left="1070" w:hanging="7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05AF"/>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145A"/>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32055"/>
    <w:rsid w:val="00855C8A"/>
    <w:rsid w:val="00857E98"/>
    <w:rsid w:val="00873624"/>
    <w:rsid w:val="00895B34"/>
    <w:rsid w:val="0089661E"/>
    <w:rsid w:val="008B54CC"/>
    <w:rsid w:val="008D05AB"/>
    <w:rsid w:val="008E751F"/>
    <w:rsid w:val="008F0F81"/>
    <w:rsid w:val="008F3056"/>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66FB3"/>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858A1"/>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FD79"/>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C507B"/>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C23D-7C49-48CA-8CCE-F246F490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2017-08-29T10:38:00Z</dcterms:created>
  <dcterms:modified xsi:type="dcterms:W3CDTF">2017-08-29T10:38:00Z</dcterms:modified>
</cp:coreProperties>
</file>