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bg-BG"/>
        </w:rPr>
        <w:id w:val="1129429719"/>
        <w:lock w:val="sdtLocked"/>
        <w:placeholder>
          <w:docPart w:val="1CE92F02F6ED495EA188391495254E96"/>
        </w:placeholder>
        <w:text/>
      </w:sdtPr>
      <w:sdtEndPr/>
      <w:sdtContent>
        <w:p w:rsidR="00AE1971" w:rsidRPr="00AE1971" w:rsidRDefault="00130FEA" w:rsidP="00AE1971">
          <w:pPr>
            <w:tabs>
              <w:tab w:val="left" w:pos="5370"/>
            </w:tabs>
            <w:jc w:val="center"/>
            <w:rPr>
              <w:rFonts w:cs="Times New Roman"/>
              <w:szCs w:val="24"/>
              <w:lang w:val="bg-BG"/>
            </w:rPr>
          </w:pPr>
          <w:r w:rsidRPr="00130FEA">
            <w:rPr>
              <w:b/>
              <w:szCs w:val="24"/>
              <w:lang w:val="bg-BG"/>
            </w:rPr>
            <w:t>Юридически лица с нестопанска цел</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30FEA"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30FEA" w:rsidP="00007DB0">
                <w:pPr>
                  <w:rPr>
                    <w:rFonts w:cs="Times New Roman"/>
                    <w:szCs w:val="24"/>
                    <w:lang w:val="bg-BG"/>
                  </w:rPr>
                </w:pPr>
                <w:r>
                  <w:rPr>
                    <w:rFonts w:cs="Times New Roman"/>
                    <w:szCs w:val="24"/>
                    <w:lang w:val="bg-BG"/>
                  </w:rPr>
                  <w:t>Избираема</w:t>
                </w:r>
              </w:p>
            </w:tc>
          </w:sdtContent>
        </w:sdt>
      </w:tr>
      <w:tr w:rsidR="00FB1B8F" w:rsidRPr="00130FEA"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30FEA" w:rsidP="00130FEA">
                <w:pPr>
                  <w:rPr>
                    <w:rFonts w:cs="Times New Roman"/>
                    <w:szCs w:val="24"/>
                    <w:lang w:val="bg-BG"/>
                  </w:rPr>
                </w:pPr>
                <w:r>
                  <w:rPr>
                    <w:rFonts w:cs="Times New Roman"/>
                    <w:szCs w:val="24"/>
                    <w:lang w:val="bg-BG"/>
                  </w:rPr>
                  <w:t>доц. дюн Красен Стойчев</w:t>
                </w:r>
              </w:p>
            </w:tc>
          </w:sdtContent>
        </w:sdt>
      </w:tr>
      <w:tr w:rsidR="00007DB0" w:rsidRPr="00130FEA"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30FEA" w:rsidP="00043C61">
                <w:pPr>
                  <w:rPr>
                    <w:rFonts w:cs="Times New Roman"/>
                    <w:szCs w:val="24"/>
                    <w:lang w:val="bg-BG"/>
                  </w:rPr>
                </w:pPr>
                <w:r>
                  <w:rPr>
                    <w:rFonts w:cs="Times New Roman"/>
                    <w:szCs w:val="24"/>
                    <w:lang w:val="bg-BG"/>
                  </w:rPr>
                  <w:t>Един семестър</w:t>
                </w:r>
              </w:p>
            </w:tc>
          </w:sdtContent>
        </w:sdt>
      </w:tr>
      <w:tr w:rsidR="00007DB0" w:rsidRPr="00130FEA"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30FEA" w:rsidP="00043C61">
                <w:pPr>
                  <w:rPr>
                    <w:rFonts w:cs="Times New Roman"/>
                    <w:szCs w:val="24"/>
                    <w:lang w:val="bg-BG"/>
                  </w:rPr>
                </w:pPr>
                <w:r>
                  <w:rPr>
                    <w:rFonts w:cs="Times New Roman"/>
                    <w:szCs w:val="24"/>
                    <w:lang w:val="bg-BG"/>
                  </w:rPr>
                  <w:t>Лекции</w:t>
                </w:r>
              </w:p>
            </w:tc>
          </w:sdtContent>
        </w:sdt>
      </w:tr>
      <w:tr w:rsidR="00007DB0" w:rsidRPr="00130FEA"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30FEA" w:rsidP="00043C61">
                <w:pPr>
                  <w:rPr>
                    <w:rFonts w:cs="Times New Roman"/>
                    <w:szCs w:val="24"/>
                    <w:lang w:val="bg-BG"/>
                  </w:rPr>
                </w:pPr>
                <w:r>
                  <w:rPr>
                    <w:rFonts w:cs="Times New Roman"/>
                    <w:szCs w:val="24"/>
                    <w:lang w:val="bg-BG"/>
                  </w:rPr>
                  <w:t>Не</w:t>
                </w:r>
              </w:p>
            </w:tc>
          </w:sdtContent>
        </w:sdt>
      </w:tr>
      <w:tr w:rsidR="00A0317A" w:rsidRPr="00130FEA"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30FEA" w:rsidP="00043C61">
                <w:pPr>
                  <w:rPr>
                    <w:rFonts w:cs="Times New Roman"/>
                    <w:szCs w:val="24"/>
                    <w:lang w:val="bg-BG"/>
                  </w:rPr>
                </w:pPr>
                <w:r>
                  <w:rPr>
                    <w:rFonts w:cs="Times New Roman"/>
                    <w:szCs w:val="24"/>
                    <w:lang w:val="bg-BG"/>
                  </w:rPr>
                  <w:t>Не</w:t>
                </w:r>
              </w:p>
            </w:tc>
          </w:sdtContent>
        </w:sdt>
      </w:tr>
      <w:tr w:rsidR="000D1387" w:rsidRPr="00130FEA"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30FEA" w:rsidP="00130FEA">
                <w:pPr>
                  <w:rPr>
                    <w:rFonts w:cs="Times New Roman"/>
                    <w:szCs w:val="24"/>
                    <w:lang w:val="bg-BG" w:eastAsia="zh-TW"/>
                  </w:rPr>
                </w:pPr>
                <w:r>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PMingLiU" w:cstheme="minorBidi"/>
          <w:sz w:val="24"/>
          <w:szCs w:val="22"/>
          <w:lang w:val="en-US" w:eastAsia="en-US"/>
        </w:rPr>
        <w:id w:val="-845942361"/>
        <w:lock w:val="sdtLocked"/>
        <w:placeholder>
          <w:docPart w:val="8D450DEC8CC547AFBACEEDE34D4E0A60"/>
        </w:placeholder>
      </w:sdtPr>
      <w:sdtEndPr>
        <w:rPr>
          <w:b/>
          <w:szCs w:val="24"/>
        </w:rPr>
      </w:sdtEndPr>
      <w:sdtContent>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Понятие за ЮЛНЦ.</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Видове ЮЛНЦ.</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ru-RU"/>
            </w:rPr>
            <w:t xml:space="preserve">Средства и предмет на дейност на ЮЛНЦ. </w:t>
          </w:r>
          <w:r w:rsidRPr="00D575ED">
            <w:rPr>
              <w:sz w:val="22"/>
              <w:szCs w:val="22"/>
              <w:lang w:val="en-US"/>
            </w:rPr>
            <w:t>Правоспособност.</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Индивидуализиращи признаци на ЮЛНЦ.</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 xml:space="preserve">Учредяване на ЮЛНЦ – фактически състав. </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Преобразуване и прекратяване на ЮЛНЦ.</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ru-RU"/>
            </w:rPr>
            <w:t xml:space="preserve">Сдружения – понятие и обща характеристика. </w:t>
          </w:r>
          <w:r w:rsidRPr="00D575ED">
            <w:rPr>
              <w:sz w:val="22"/>
              <w:szCs w:val="22"/>
              <w:lang w:val="en-US"/>
            </w:rPr>
            <w:t>Отграничения.</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Учредяване на сдружения.</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 xml:space="preserve">Устав на сдружението. Имущество. </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Членство в сдруженията.</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 xml:space="preserve">Управление на сдруженията. </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Съдебен контрол върху решенията на Общото събрание на сдружение.</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Преобразуване и прекратяване на сдружения.</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Фондации – историческо развитие, понятие.  Отграничения от сродни правни фигури.</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Учредяване на фондации.</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Имущество на фондациите.</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Дестинатори на фондацията. Запазени права при фондацията.</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Управление и представителство на фондациите.</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Преобразуване и прекратяване на фондациите.</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ЮЛНЦ за осъществяване на общественополезна дейност – понятие, регистрация, управление.</w:t>
          </w:r>
        </w:p>
        <w:p w:rsidR="00130FEA" w:rsidRPr="00D575ED" w:rsidRDefault="00130FEA" w:rsidP="00130FEA">
          <w:pPr>
            <w:pStyle w:val="BodyTextIndent"/>
            <w:numPr>
              <w:ilvl w:val="0"/>
              <w:numId w:val="2"/>
            </w:numPr>
            <w:tabs>
              <w:tab w:val="clear" w:pos="360"/>
              <w:tab w:val="num" w:pos="0"/>
            </w:tabs>
            <w:ind w:left="0" w:firstLine="360"/>
            <w:rPr>
              <w:sz w:val="22"/>
              <w:szCs w:val="22"/>
              <w:lang w:val="ru-RU"/>
            </w:rPr>
          </w:pPr>
          <w:r w:rsidRPr="00D575ED">
            <w:rPr>
              <w:sz w:val="22"/>
              <w:szCs w:val="22"/>
              <w:lang w:val="ru-RU"/>
            </w:rPr>
            <w:t>Заличаване и ликвидация на ЮЛНЦ за осъществяване на общественополезна дейност.</w:t>
          </w:r>
        </w:p>
        <w:p w:rsidR="00130FEA" w:rsidRPr="00D575ED" w:rsidRDefault="00130FEA" w:rsidP="00130FEA">
          <w:pPr>
            <w:pStyle w:val="BodyTextIndent"/>
            <w:numPr>
              <w:ilvl w:val="0"/>
              <w:numId w:val="2"/>
            </w:numPr>
            <w:tabs>
              <w:tab w:val="clear" w:pos="360"/>
              <w:tab w:val="num" w:pos="0"/>
            </w:tabs>
            <w:ind w:left="0" w:firstLine="360"/>
            <w:rPr>
              <w:sz w:val="22"/>
              <w:szCs w:val="22"/>
              <w:lang w:val="en-US"/>
            </w:rPr>
          </w:pPr>
          <w:r w:rsidRPr="00D575ED">
            <w:rPr>
              <w:sz w:val="22"/>
              <w:szCs w:val="22"/>
              <w:lang w:val="en-US"/>
            </w:rPr>
            <w:t>Данъчноправен режим на ЮЛНЦ.</w:t>
          </w:r>
          <w:r>
            <w:rPr>
              <w:sz w:val="22"/>
              <w:szCs w:val="22"/>
            </w:rPr>
            <w:t xml:space="preserve">   </w:t>
          </w:r>
        </w:p>
        <w:p w:rsidR="00DA6080" w:rsidRPr="00130FEA" w:rsidRDefault="001152DE"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en-US" w:eastAsia="en-US"/>
        </w:rPr>
        <w:id w:val="-1245727579"/>
        <w:lock w:val="sdtLocked"/>
        <w:placeholder>
          <w:docPart w:val="780430C84A684CAAB22A9082EFE4E623"/>
        </w:placeholder>
      </w:sdtPr>
      <w:sdtEndPr/>
      <w:sdtContent>
        <w:p w:rsidR="00130FEA" w:rsidRPr="00046897" w:rsidRDefault="00130FEA" w:rsidP="00130FEA">
          <w:pPr>
            <w:pStyle w:val="BodyTextIndent"/>
            <w:ind w:firstLine="706"/>
            <w:rPr>
              <w:b/>
              <w:sz w:val="20"/>
            </w:rPr>
          </w:pPr>
          <w:r w:rsidRPr="00CD19AF">
            <w:rPr>
              <w:b/>
              <w:sz w:val="20"/>
              <w:lang w:val="ru-RU"/>
            </w:rPr>
            <w:t>1. Избрана литература</w:t>
          </w:r>
        </w:p>
        <w:p w:rsidR="00130FEA" w:rsidRPr="00CD19AF" w:rsidRDefault="00130FEA" w:rsidP="00130FEA">
          <w:pPr>
            <w:pStyle w:val="BodyTextIndent"/>
            <w:ind w:firstLine="706"/>
            <w:rPr>
              <w:sz w:val="20"/>
              <w:lang w:val="ru-RU"/>
            </w:rPr>
          </w:pPr>
          <w:r w:rsidRPr="00CD19AF">
            <w:rPr>
              <w:sz w:val="20"/>
              <w:lang w:val="ru-RU"/>
            </w:rPr>
            <w:t>Златарева, М.  Юридически лица с н</w:t>
          </w:r>
          <w:r>
            <w:rPr>
              <w:sz w:val="20"/>
              <w:lang w:val="ru-RU"/>
            </w:rPr>
            <w:t>естопанска цел, С.: Сиела, 2002;</w:t>
          </w:r>
          <w:r w:rsidRPr="00CD19AF">
            <w:rPr>
              <w:sz w:val="20"/>
              <w:lang w:val="ru-RU"/>
            </w:rPr>
            <w:t xml:space="preserve"> Второ преработено изд. С.: Сиела, 2013. </w:t>
          </w:r>
        </w:p>
        <w:p w:rsidR="00130FEA" w:rsidRPr="00CD19AF" w:rsidRDefault="00130FEA" w:rsidP="00130FEA">
          <w:pPr>
            <w:pStyle w:val="BodyTextIndent"/>
            <w:ind w:firstLine="706"/>
            <w:rPr>
              <w:sz w:val="20"/>
              <w:lang w:val="ru-RU"/>
            </w:rPr>
          </w:pPr>
          <w:r w:rsidRPr="00CD19AF">
            <w:rPr>
              <w:sz w:val="20"/>
              <w:lang w:val="ru-RU"/>
            </w:rPr>
            <w:t xml:space="preserve"> Голева, П., Каменова, Ц., Стойчев, К. Юридически лица с нестопанска цел. Правен режим. С.: ИПН-БАН и БЦНП, 2003.</w:t>
          </w:r>
        </w:p>
        <w:p w:rsidR="00130FEA" w:rsidRPr="00CD19AF" w:rsidRDefault="00130FEA" w:rsidP="00130FEA">
          <w:pPr>
            <w:pStyle w:val="BodyTextIndent"/>
            <w:ind w:firstLine="706"/>
            <w:rPr>
              <w:sz w:val="20"/>
            </w:rPr>
          </w:pPr>
          <w:r w:rsidRPr="00CD19AF">
            <w:rPr>
              <w:sz w:val="20"/>
            </w:rPr>
            <w:t>Христов, В. Същност на фондациите по българското право, Правна мисъл, 1998, № 4.</w:t>
          </w:r>
        </w:p>
        <w:p w:rsidR="00130FEA" w:rsidRPr="00CD19AF" w:rsidRDefault="00130FEA" w:rsidP="00130FEA">
          <w:pPr>
            <w:pStyle w:val="BodyTextIndent"/>
            <w:ind w:firstLine="706"/>
            <w:rPr>
              <w:sz w:val="20"/>
            </w:rPr>
          </w:pPr>
          <w:r w:rsidRPr="00CD19AF">
            <w:rPr>
              <w:sz w:val="20"/>
            </w:rPr>
            <w:t>Христов, В. Сдруженията – правен режим и перспективи, Правна мисъл, 1999, № 3.</w:t>
          </w:r>
        </w:p>
        <w:p w:rsidR="00130FEA" w:rsidRPr="00CD19AF" w:rsidRDefault="00130FEA" w:rsidP="00130FEA">
          <w:pPr>
            <w:pStyle w:val="BodyTextIndent"/>
            <w:ind w:firstLine="706"/>
            <w:rPr>
              <w:sz w:val="20"/>
              <w:lang w:val="ru-RU"/>
            </w:rPr>
          </w:pPr>
          <w:r w:rsidRPr="00CD19AF">
            <w:rPr>
              <w:sz w:val="20"/>
              <w:lang w:val="ru-RU"/>
            </w:rPr>
            <w:t>Трифонов, Т., Терзийски, А. Как да регистрираме юридическо лице с нестопанска цел, С., 2001.</w:t>
          </w:r>
        </w:p>
        <w:p w:rsidR="00CC7C5D" w:rsidRPr="00CD19AF" w:rsidRDefault="00CC7C5D" w:rsidP="00CC7C5D">
          <w:pPr>
            <w:pStyle w:val="BodyTextIndent"/>
            <w:ind w:firstLine="706"/>
            <w:rPr>
              <w:color w:val="202020"/>
              <w:sz w:val="20"/>
              <w:shd w:val="clear" w:color="auto" w:fill="FFFFFF"/>
            </w:rPr>
          </w:pPr>
          <w:r w:rsidRPr="00CD19AF">
            <w:rPr>
              <w:bCs/>
              <w:color w:val="202020"/>
              <w:sz w:val="20"/>
              <w:shd w:val="clear" w:color="auto" w:fill="FFFFFF"/>
            </w:rPr>
            <w:t>Баланов, Й.</w:t>
          </w:r>
          <w:r w:rsidRPr="00CD19AF">
            <w:rPr>
              <w:b/>
              <w:bCs/>
              <w:color w:val="202020"/>
              <w:sz w:val="20"/>
              <w:shd w:val="clear" w:color="auto" w:fill="FFFFFF"/>
            </w:rPr>
            <w:t xml:space="preserve"> </w:t>
          </w:r>
          <w:r w:rsidRPr="00CD19AF">
            <w:rPr>
              <w:color w:val="202020"/>
              <w:sz w:val="20"/>
              <w:shd w:val="clear" w:color="auto" w:fill="FFFFFF"/>
            </w:rPr>
            <w:t>Заместване на управителния съвет от управител като орган за управление на сдружение по ЗЮЛНЦ. Съвременно право, 2006, № 5;</w:t>
          </w:r>
        </w:p>
        <w:p w:rsidR="00CC7C5D" w:rsidRPr="007D6E64" w:rsidRDefault="00CC7C5D" w:rsidP="00CC7C5D">
          <w:pPr>
            <w:pStyle w:val="BodyTextIndent"/>
            <w:ind w:firstLine="706"/>
            <w:rPr>
              <w:rStyle w:val="apple-converted-space"/>
              <w:color w:val="202020"/>
              <w:sz w:val="20"/>
              <w:shd w:val="clear" w:color="auto" w:fill="FFFFFF"/>
            </w:rPr>
          </w:pPr>
          <w:r w:rsidRPr="007D6E64">
            <w:rPr>
              <w:bCs/>
              <w:color w:val="202020"/>
              <w:sz w:val="20"/>
              <w:shd w:val="clear" w:color="auto" w:fill="FFFFFF"/>
            </w:rPr>
            <w:t>Баланов, Й.</w:t>
          </w:r>
          <w:r w:rsidRPr="007D6E64">
            <w:rPr>
              <w:b/>
              <w:bCs/>
              <w:color w:val="202020"/>
              <w:sz w:val="20"/>
              <w:shd w:val="clear" w:color="auto" w:fill="FFFFFF"/>
            </w:rPr>
            <w:t xml:space="preserve"> </w:t>
          </w:r>
          <w:r w:rsidRPr="007D6E64">
            <w:rPr>
              <w:color w:val="202020"/>
              <w:sz w:val="20"/>
              <w:shd w:val="clear" w:color="auto" w:fill="FFFFFF"/>
            </w:rPr>
            <w:t>Ограничения на органното представителство на сдружения и фондации</w:t>
          </w:r>
          <w:r w:rsidRPr="007D6E64">
            <w:rPr>
              <w:color w:val="202020"/>
              <w:sz w:val="20"/>
            </w:rPr>
            <w:t xml:space="preserve">. </w:t>
          </w:r>
          <w:r w:rsidRPr="007D6E64">
            <w:rPr>
              <w:color w:val="202020"/>
              <w:sz w:val="20"/>
              <w:shd w:val="clear" w:color="auto" w:fill="FFFFFF"/>
            </w:rPr>
            <w:t>Съвременно право, 2011</w:t>
          </w:r>
          <w:r w:rsidRPr="007D6E64">
            <w:rPr>
              <w:rStyle w:val="apple-converted-space"/>
              <w:color w:val="202020"/>
              <w:sz w:val="20"/>
              <w:shd w:val="clear" w:color="auto" w:fill="FFFFFF"/>
            </w:rPr>
            <w:t>, № 3</w:t>
          </w:r>
          <w:r>
            <w:rPr>
              <w:rStyle w:val="apple-converted-space"/>
              <w:color w:val="202020"/>
              <w:shd w:val="clear" w:color="auto" w:fill="FFFFFF"/>
            </w:rPr>
            <w:t>;</w:t>
          </w:r>
        </w:p>
        <w:p w:rsidR="00CC7C5D" w:rsidRPr="007D6E64" w:rsidRDefault="00CC7C5D" w:rsidP="00CC7C5D">
          <w:pPr>
            <w:pStyle w:val="BodyTextIndent"/>
            <w:ind w:firstLine="706"/>
            <w:rPr>
              <w:rFonts w:ascii="PT Sans" w:hAnsi="PT Sans"/>
              <w:color w:val="333333"/>
              <w:sz w:val="20"/>
              <w:shd w:val="clear" w:color="auto" w:fill="FFFFFF"/>
            </w:rPr>
          </w:pPr>
          <w:r w:rsidRPr="007D6E64">
            <w:rPr>
              <w:bCs/>
              <w:color w:val="202020"/>
              <w:sz w:val="20"/>
              <w:shd w:val="clear" w:color="auto" w:fill="FFFFFF"/>
            </w:rPr>
            <w:t>Баланов, Й.</w:t>
          </w:r>
          <w:r w:rsidRPr="007D6E64">
            <w:rPr>
              <w:rFonts w:ascii="PT Sans" w:hAnsi="PT Sans"/>
              <w:color w:val="333333"/>
              <w:sz w:val="20"/>
              <w:shd w:val="clear" w:color="auto" w:fill="FFFFFF"/>
            </w:rPr>
            <w:t xml:space="preserve"> </w:t>
          </w:r>
          <w:r w:rsidRPr="007D6E64">
            <w:rPr>
              <w:rFonts w:ascii="PT Sans" w:hAnsi="PT Sans"/>
              <w:sz w:val="20"/>
              <w:shd w:val="clear" w:color="auto" w:fill="FFFFFF"/>
            </w:rPr>
            <w:t xml:space="preserve">Запазени субективни права за учредителя или определено от него трето лице във фондация. - В: </w:t>
          </w:r>
          <w:r w:rsidRPr="007D6E64">
            <w:rPr>
              <w:rFonts w:ascii="PT Sans" w:hAnsi="PT Sans"/>
              <w:color w:val="333333"/>
              <w:sz w:val="20"/>
              <w:shd w:val="clear" w:color="auto" w:fill="FFFFFF"/>
            </w:rPr>
            <w:t>, Сборник научни изследвания в памет на Т. Пиперков. В</w:t>
          </w:r>
          <w:r>
            <w:rPr>
              <w:rFonts w:ascii="PT Sans" w:hAnsi="PT Sans"/>
              <w:color w:val="333333"/>
              <w:sz w:val="20"/>
              <w:shd w:val="clear" w:color="auto" w:fill="FFFFFF"/>
            </w:rPr>
            <w:t>.</w:t>
          </w:r>
          <w:r w:rsidRPr="007D6E64">
            <w:rPr>
              <w:rFonts w:ascii="PT Sans" w:hAnsi="PT Sans"/>
              <w:color w:val="333333"/>
              <w:sz w:val="20"/>
              <w:shd w:val="clear" w:color="auto" w:fill="FFFFFF"/>
            </w:rPr>
            <w:t xml:space="preserve"> Търново: УИ "Св. св. Кирил и Методий, 2016;</w:t>
          </w:r>
        </w:p>
        <w:p w:rsidR="00CC7C5D" w:rsidRPr="007D6E64" w:rsidRDefault="00CC7C5D" w:rsidP="00CC7C5D">
          <w:pPr>
            <w:pStyle w:val="BodyTextIndent"/>
            <w:ind w:firstLine="706"/>
            <w:rPr>
              <w:rFonts w:ascii="PT Sans" w:hAnsi="PT Sans"/>
              <w:color w:val="333333"/>
              <w:sz w:val="20"/>
              <w:shd w:val="clear" w:color="auto" w:fill="FFFFFF"/>
            </w:rPr>
          </w:pPr>
          <w:r w:rsidRPr="007D6E64">
            <w:rPr>
              <w:bCs/>
              <w:color w:val="202020"/>
              <w:sz w:val="20"/>
              <w:shd w:val="clear" w:color="auto" w:fill="FFFFFF"/>
            </w:rPr>
            <w:t>Баланов, Й.</w:t>
          </w:r>
          <w:r w:rsidRPr="007D6E64">
            <w:rPr>
              <w:rFonts w:ascii="PT Sans" w:hAnsi="PT Sans"/>
              <w:color w:val="333333"/>
              <w:sz w:val="20"/>
              <w:shd w:val="clear" w:color="auto" w:fill="FFFFFF"/>
            </w:rPr>
            <w:t xml:space="preserve"> </w:t>
          </w:r>
          <w:r w:rsidRPr="007D6E64">
            <w:rPr>
              <w:rFonts w:ascii="PT Sans" w:hAnsi="PT Sans"/>
              <w:sz w:val="20"/>
              <w:shd w:val="clear" w:color="auto" w:fill="FFFFFF"/>
            </w:rPr>
            <w:t>Прекратяване на органното представителство на сдружения и фондации</w:t>
          </w:r>
          <w:r w:rsidRPr="007D6E64">
            <w:rPr>
              <w:rFonts w:ascii="PT Sans" w:hAnsi="PT Sans"/>
              <w:color w:val="333333"/>
              <w:sz w:val="20"/>
              <w:shd w:val="clear" w:color="auto" w:fill="FFFFFF"/>
            </w:rPr>
            <w:t>, D</w:t>
          </w:r>
          <w:r>
            <w:rPr>
              <w:rFonts w:ascii="PT Sans" w:hAnsi="PT Sans"/>
              <w:color w:val="333333"/>
              <w:sz w:val="20"/>
              <w:shd w:val="clear" w:color="auto" w:fill="FFFFFF"/>
              <w:lang w:val="en-US"/>
            </w:rPr>
            <w:t>e</w:t>
          </w:r>
          <w:r w:rsidRPr="007D6E64">
            <w:rPr>
              <w:rFonts w:ascii="PT Sans" w:hAnsi="PT Sans"/>
              <w:color w:val="333333"/>
              <w:sz w:val="20"/>
              <w:shd w:val="clear" w:color="auto" w:fill="FFFFFF"/>
            </w:rPr>
            <w:t xml:space="preserve"> </w:t>
          </w:r>
          <w:r>
            <w:rPr>
              <w:rFonts w:ascii="PT Sans" w:hAnsi="PT Sans"/>
              <w:color w:val="333333"/>
              <w:sz w:val="20"/>
              <w:shd w:val="clear" w:color="auto" w:fill="FFFFFF"/>
              <w:lang w:val="en-US"/>
            </w:rPr>
            <w:t>jure</w:t>
          </w:r>
          <w:r w:rsidRPr="007D6E64">
            <w:rPr>
              <w:rFonts w:ascii="PT Sans" w:hAnsi="PT Sans"/>
              <w:color w:val="333333"/>
              <w:sz w:val="20"/>
              <w:shd w:val="clear" w:color="auto" w:fill="FFFFFF"/>
            </w:rPr>
            <w:t>, 2014, № 2;</w:t>
          </w:r>
        </w:p>
        <w:p w:rsidR="00CC7C5D" w:rsidRPr="007D6E64" w:rsidRDefault="00CC7C5D" w:rsidP="00CC7C5D">
          <w:pPr>
            <w:pStyle w:val="BodyTextIndent"/>
            <w:ind w:firstLine="706"/>
            <w:rPr>
              <w:rFonts w:ascii="PT Sans" w:hAnsi="PT Sans"/>
              <w:color w:val="333333"/>
              <w:sz w:val="20"/>
              <w:shd w:val="clear" w:color="auto" w:fill="FFFFFF"/>
            </w:rPr>
          </w:pPr>
          <w:r w:rsidRPr="007D6E64">
            <w:rPr>
              <w:bCs/>
              <w:color w:val="202020"/>
              <w:sz w:val="20"/>
              <w:shd w:val="clear" w:color="auto" w:fill="FFFFFF"/>
            </w:rPr>
            <w:t>Баланов, Й.</w:t>
          </w:r>
          <w:r w:rsidRPr="007D6E64">
            <w:rPr>
              <w:rFonts w:ascii="PT Sans" w:hAnsi="PT Sans"/>
              <w:color w:val="333333"/>
              <w:sz w:val="20"/>
              <w:shd w:val="clear" w:color="auto" w:fill="FFFFFF"/>
            </w:rPr>
            <w:t xml:space="preserve"> </w:t>
          </w:r>
          <w:r w:rsidRPr="007D6E64">
            <w:rPr>
              <w:rFonts w:ascii="PT Sans" w:hAnsi="PT Sans"/>
              <w:sz w:val="20"/>
              <w:shd w:val="clear" w:color="auto" w:fill="FFFFFF"/>
            </w:rPr>
            <w:t>Същност на органното представителство на сдружения и фондации.</w:t>
          </w:r>
          <w:r w:rsidRPr="007D6E64">
            <w:rPr>
              <w:rFonts w:ascii="PT Sans" w:hAnsi="PT Sans"/>
              <w:color w:val="333333"/>
              <w:sz w:val="20"/>
              <w:shd w:val="clear" w:color="auto" w:fill="FFFFFF"/>
            </w:rPr>
            <w:t> D</w:t>
          </w:r>
          <w:r>
            <w:rPr>
              <w:rFonts w:ascii="PT Sans" w:hAnsi="PT Sans"/>
              <w:color w:val="333333"/>
              <w:sz w:val="20"/>
              <w:shd w:val="clear" w:color="auto" w:fill="FFFFFF"/>
              <w:lang w:val="en-US"/>
            </w:rPr>
            <w:t>e</w:t>
          </w:r>
          <w:r w:rsidRPr="007D6E64">
            <w:rPr>
              <w:rFonts w:ascii="PT Sans" w:hAnsi="PT Sans"/>
              <w:color w:val="333333"/>
              <w:sz w:val="20"/>
              <w:shd w:val="clear" w:color="auto" w:fill="FFFFFF"/>
            </w:rPr>
            <w:t xml:space="preserve"> </w:t>
          </w:r>
          <w:r>
            <w:rPr>
              <w:rFonts w:ascii="PT Sans" w:hAnsi="PT Sans"/>
              <w:color w:val="333333"/>
              <w:sz w:val="20"/>
              <w:shd w:val="clear" w:color="auto" w:fill="FFFFFF"/>
              <w:lang w:val="en-US"/>
            </w:rPr>
            <w:t>jure</w:t>
          </w:r>
          <w:r w:rsidRPr="007D6E64">
            <w:rPr>
              <w:rFonts w:ascii="PT Sans" w:hAnsi="PT Sans"/>
              <w:color w:val="333333"/>
              <w:sz w:val="20"/>
              <w:shd w:val="clear" w:color="auto" w:fill="FFFFFF"/>
            </w:rPr>
            <w:t>, 2014, № 1;</w:t>
          </w:r>
        </w:p>
        <w:p w:rsidR="00CC7C5D" w:rsidRPr="007D6E64" w:rsidRDefault="00CC7C5D" w:rsidP="00CC7C5D">
          <w:pPr>
            <w:pStyle w:val="BodyTextIndent"/>
            <w:ind w:firstLine="706"/>
            <w:rPr>
              <w:rFonts w:ascii="PT Sans" w:hAnsi="PT Sans"/>
              <w:color w:val="333333"/>
              <w:sz w:val="20"/>
              <w:shd w:val="clear" w:color="auto" w:fill="FFFFFF"/>
            </w:rPr>
          </w:pPr>
          <w:r w:rsidRPr="007D6E64">
            <w:rPr>
              <w:bCs/>
              <w:color w:val="202020"/>
              <w:sz w:val="20"/>
              <w:shd w:val="clear" w:color="auto" w:fill="FFFFFF"/>
            </w:rPr>
            <w:t>Баланов, Й.</w:t>
          </w:r>
          <w:r w:rsidRPr="007D6E64">
            <w:rPr>
              <w:rFonts w:ascii="PT Sans" w:hAnsi="PT Sans"/>
              <w:color w:val="333333"/>
              <w:sz w:val="20"/>
              <w:shd w:val="clear" w:color="auto" w:fill="FFFFFF"/>
            </w:rPr>
            <w:t xml:space="preserve">  </w:t>
          </w:r>
          <w:r w:rsidRPr="007D6E64">
            <w:rPr>
              <w:rFonts w:ascii="PT Sans" w:hAnsi="PT Sans"/>
              <w:sz w:val="20"/>
              <w:shd w:val="clear" w:color="auto" w:fill="FFFFFF"/>
            </w:rPr>
            <w:t>Възникване на органно представителство на сдружения и фондации.</w:t>
          </w:r>
          <w:r w:rsidRPr="007D6E64">
            <w:rPr>
              <w:rFonts w:ascii="PT Sans" w:hAnsi="PT Sans"/>
              <w:color w:val="333333"/>
              <w:sz w:val="20"/>
              <w:shd w:val="clear" w:color="auto" w:fill="FFFFFF"/>
            </w:rPr>
            <w:t xml:space="preserve"> D</w:t>
          </w:r>
          <w:r>
            <w:rPr>
              <w:rFonts w:ascii="PT Sans" w:hAnsi="PT Sans"/>
              <w:color w:val="333333"/>
              <w:sz w:val="20"/>
              <w:shd w:val="clear" w:color="auto" w:fill="FFFFFF"/>
              <w:lang w:val="en-US"/>
            </w:rPr>
            <w:t>e</w:t>
          </w:r>
          <w:r w:rsidRPr="007D6E64">
            <w:rPr>
              <w:rFonts w:ascii="PT Sans" w:hAnsi="PT Sans"/>
              <w:color w:val="333333"/>
              <w:sz w:val="20"/>
              <w:shd w:val="clear" w:color="auto" w:fill="FFFFFF"/>
            </w:rPr>
            <w:t xml:space="preserve"> </w:t>
          </w:r>
          <w:r>
            <w:rPr>
              <w:rFonts w:ascii="PT Sans" w:hAnsi="PT Sans"/>
              <w:color w:val="333333"/>
              <w:sz w:val="20"/>
              <w:shd w:val="clear" w:color="auto" w:fill="FFFFFF"/>
              <w:lang w:val="en-US"/>
            </w:rPr>
            <w:t>jure</w:t>
          </w:r>
          <w:r w:rsidRPr="007D6E64">
            <w:rPr>
              <w:rFonts w:ascii="PT Sans" w:hAnsi="PT Sans"/>
              <w:color w:val="333333"/>
              <w:sz w:val="20"/>
              <w:shd w:val="clear" w:color="auto" w:fill="FFFFFF"/>
            </w:rPr>
            <w:t>, 2013, № 1;</w:t>
          </w:r>
        </w:p>
        <w:p w:rsidR="00130FEA" w:rsidRPr="00CD19AF" w:rsidRDefault="00130FEA" w:rsidP="00130FEA">
          <w:pPr>
            <w:pStyle w:val="BodyTextIndent"/>
            <w:ind w:firstLine="706"/>
            <w:rPr>
              <w:i/>
              <w:sz w:val="20"/>
            </w:rPr>
          </w:pPr>
          <w:r w:rsidRPr="00CD19AF">
            <w:rPr>
              <w:sz w:val="20"/>
              <w:lang w:val="ru-RU"/>
            </w:rPr>
            <w:t xml:space="preserve">Токушев, В. Някои проблеми в новата правна уредба на юридическите лица с нестопанска цел, Търговско право, 2001, № 3; достъпна и на </w:t>
          </w:r>
          <w:r w:rsidRPr="00AE0BF7">
            <w:rPr>
              <w:i/>
              <w:sz w:val="20"/>
            </w:rPr>
            <w:t>http://www.tokushev-lawoffice.com/wp-content/</w:t>
          </w:r>
          <w:r w:rsidRPr="00CD19AF">
            <w:rPr>
              <w:i/>
              <w:sz w:val="20"/>
            </w:rPr>
            <w:t>uploads/2011/12/TP_</w:t>
          </w:r>
          <w:r>
            <w:rPr>
              <w:i/>
              <w:sz w:val="20"/>
            </w:rPr>
            <w:t xml:space="preserve"> </w:t>
          </w:r>
          <w:r w:rsidRPr="00CD19AF">
            <w:rPr>
              <w:i/>
              <w:sz w:val="20"/>
            </w:rPr>
            <w:t>Viktor_Tokushev_ULSNS.pdf</w:t>
          </w:r>
        </w:p>
        <w:p w:rsidR="00130FEA" w:rsidRPr="00CD19AF" w:rsidRDefault="00130FEA" w:rsidP="00130FEA">
          <w:pPr>
            <w:pStyle w:val="BodyTextIndent"/>
            <w:ind w:firstLine="706"/>
            <w:rPr>
              <w:sz w:val="20"/>
            </w:rPr>
          </w:pPr>
          <w:r w:rsidRPr="00CD19AF">
            <w:rPr>
              <w:bCs/>
              <w:color w:val="202020"/>
              <w:sz w:val="20"/>
              <w:shd w:val="clear" w:color="auto" w:fill="FFFFFF"/>
            </w:rPr>
            <w:t>Тихолов, С.</w:t>
          </w:r>
          <w:r w:rsidRPr="00CD19AF">
            <w:rPr>
              <w:b/>
              <w:bCs/>
              <w:color w:val="202020"/>
              <w:sz w:val="20"/>
              <w:shd w:val="clear" w:color="auto" w:fill="FFFFFF"/>
            </w:rPr>
            <w:t xml:space="preserve"> </w:t>
          </w:r>
          <w:r w:rsidRPr="00CD19AF">
            <w:rPr>
              <w:sz w:val="20"/>
            </w:rPr>
            <w:t>За приложението на сроковете по чл. 25, ал. 6 от ЗЮЛНЦ. Адвокатски преглед, 2010, № 9, достъпно от сайта на Висшия адвокатски съвет (</w:t>
          </w:r>
          <w:r w:rsidRPr="00CD19AF">
            <w:rPr>
              <w:i/>
              <w:sz w:val="20"/>
            </w:rPr>
            <w:t>http://www.vas.bg</w:t>
          </w:r>
          <w:r w:rsidRPr="00CD19AF">
            <w:rPr>
              <w:sz w:val="20"/>
            </w:rPr>
            <w:t xml:space="preserve"> )</w:t>
          </w:r>
        </w:p>
        <w:p w:rsidR="00130FEA" w:rsidRPr="00CD19AF" w:rsidRDefault="00130FEA" w:rsidP="00130FEA">
          <w:pPr>
            <w:pStyle w:val="BodyTextIndent"/>
            <w:ind w:firstLine="706"/>
            <w:rPr>
              <w:i/>
              <w:sz w:val="20"/>
            </w:rPr>
          </w:pPr>
        </w:p>
        <w:p w:rsidR="00130FEA" w:rsidRPr="00CD19AF" w:rsidRDefault="00130FEA" w:rsidP="00130FEA">
          <w:pPr>
            <w:pStyle w:val="BodyTextIndent"/>
            <w:ind w:firstLine="706"/>
            <w:rPr>
              <w:b/>
              <w:sz w:val="20"/>
            </w:rPr>
          </w:pPr>
          <w:r w:rsidRPr="00CD19AF">
            <w:rPr>
              <w:b/>
              <w:sz w:val="20"/>
            </w:rPr>
            <w:t>2. Полезни сайтове (и материалите оттам)</w:t>
          </w:r>
        </w:p>
        <w:p w:rsidR="00130FEA" w:rsidRPr="00CD19AF" w:rsidRDefault="00130FEA" w:rsidP="00130FEA">
          <w:pPr>
            <w:pStyle w:val="BodyTextIndent"/>
            <w:numPr>
              <w:ilvl w:val="0"/>
              <w:numId w:val="3"/>
            </w:numPr>
            <w:ind w:left="0" w:firstLine="706"/>
            <w:rPr>
              <w:i/>
              <w:sz w:val="20"/>
            </w:rPr>
          </w:pPr>
          <w:r w:rsidRPr="00CD19AF">
            <w:rPr>
              <w:sz w:val="20"/>
              <w:shd w:val="clear" w:color="auto" w:fill="FFFFFF"/>
            </w:rPr>
            <w:t>Централен регистър на юридическите лица с нестопанска цел за общественополезна дейност</w:t>
          </w:r>
          <w:r w:rsidRPr="00CD19AF">
            <w:rPr>
              <w:sz w:val="20"/>
            </w:rPr>
            <w:t xml:space="preserve"> на министерството на правосъдието - </w:t>
          </w:r>
          <w:r w:rsidRPr="00CD19AF">
            <w:rPr>
              <w:i/>
              <w:sz w:val="20"/>
            </w:rPr>
            <w:t>http://www.justice.government.bg/41/</w:t>
          </w:r>
        </w:p>
        <w:p w:rsidR="00130FEA" w:rsidRPr="00CD19AF" w:rsidRDefault="00130FEA" w:rsidP="00130FEA">
          <w:pPr>
            <w:pStyle w:val="BodyTextIndent"/>
            <w:numPr>
              <w:ilvl w:val="0"/>
              <w:numId w:val="3"/>
            </w:numPr>
            <w:ind w:left="0" w:firstLine="706"/>
            <w:rPr>
              <w:sz w:val="20"/>
            </w:rPr>
          </w:pPr>
          <w:r w:rsidRPr="00CD19AF">
            <w:rPr>
              <w:sz w:val="20"/>
              <w:shd w:val="clear" w:color="auto" w:fill="FFFFFF"/>
            </w:rPr>
            <w:t xml:space="preserve">Български център за нестопанско право - </w:t>
          </w:r>
          <w:r w:rsidRPr="00CD19AF">
            <w:rPr>
              <w:i/>
              <w:sz w:val="20"/>
            </w:rPr>
            <w:t>http://www.bcnl.org/</w:t>
          </w:r>
        </w:p>
        <w:p w:rsidR="00071625" w:rsidRDefault="001152DE"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130FEA" w:rsidP="00FB1D2B">
          <w:pPr>
            <w:jc w:val="both"/>
            <w:rPr>
              <w:rFonts w:cs="Times New Roman"/>
              <w:szCs w:val="24"/>
              <w:lang w:val="bg-BG"/>
            </w:rPr>
          </w:pPr>
          <w:r>
            <w:rPr>
              <w:rFonts w:cs="Times New Roman"/>
              <w:szCs w:val="24"/>
              <w:lang w:val="bg-BG"/>
            </w:rPr>
            <w:t>Не се провежда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130FEA"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30FEA">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ascii="Times New Roman" w:hAnsi="Times New Roman" w:cs="Times New Roman"/>
          <w:sz w:val="24"/>
          <w:szCs w:val="24"/>
          <w:shd w:val="clear" w:color="auto" w:fill="auto"/>
          <w:lang w:val="bg-BG"/>
        </w:rPr>
        <w:id w:val="-254904856"/>
        <w:lock w:val="sdtLocked"/>
        <w:placeholder>
          <w:docPart w:val="AA43F23589524DAD8265F17F9889B1D6"/>
        </w:placeholder>
      </w:sdtPr>
      <w:sdtEndPr/>
      <w:sdtContent>
        <w:p w:rsidR="00130FEA" w:rsidRPr="00130FEA" w:rsidRDefault="00130FEA" w:rsidP="00130FEA">
          <w:pPr>
            <w:pStyle w:val="Bodytext20"/>
            <w:shd w:val="clear" w:color="auto" w:fill="auto"/>
            <w:tabs>
              <w:tab w:val="left" w:pos="370"/>
            </w:tabs>
            <w:spacing w:before="120" w:line="360" w:lineRule="auto"/>
            <w:ind w:firstLine="374"/>
            <w:jc w:val="both"/>
            <w:rPr>
              <w:sz w:val="24"/>
              <w:szCs w:val="24"/>
              <w:lang w:val="bg-BG"/>
            </w:rPr>
          </w:pPr>
          <w:r w:rsidRPr="00130FEA">
            <w:rPr>
              <w:sz w:val="24"/>
              <w:szCs w:val="24"/>
              <w:lang w:val="bg-BG"/>
            </w:rPr>
            <w:t>Прилагат се както традиционни, така и по-нови форми на изпитване (писмен, устен, комбинирано от двете форми; тестово решаване на зададени въпроси; писмено решаване на казуси)</w:t>
          </w:r>
          <w:r>
            <w:rPr>
              <w:sz w:val="24"/>
              <w:szCs w:val="24"/>
              <w:lang w:val="bg-BG"/>
            </w:rPr>
            <w:t>; написване на есе по правен проблем на ЮЛНЦ или съставяне на казус от студента по изучаваната област</w:t>
          </w:r>
          <w:r w:rsidRPr="00130FEA">
            <w:rPr>
              <w:sz w:val="24"/>
              <w:szCs w:val="24"/>
              <w:lang w:val="bg-BG"/>
            </w:rPr>
            <w:t>. Цел – максимално обективна проверка на усвоени стабилни знания, които могат да бъдат адекватно приложени по зададени казусни/тестови ситуации.</w:t>
          </w:r>
        </w:p>
        <w:p w:rsidR="00130FEA" w:rsidRPr="00130FEA" w:rsidRDefault="00130FEA" w:rsidP="00130FEA">
          <w:pPr>
            <w:pStyle w:val="Bodytext20"/>
            <w:shd w:val="clear" w:color="auto" w:fill="auto"/>
            <w:tabs>
              <w:tab w:val="left" w:pos="370"/>
            </w:tabs>
            <w:spacing w:before="120" w:line="360" w:lineRule="auto"/>
            <w:ind w:firstLine="374"/>
            <w:jc w:val="both"/>
            <w:rPr>
              <w:sz w:val="24"/>
              <w:szCs w:val="24"/>
              <w:lang w:val="bg-BG"/>
            </w:rPr>
          </w:pPr>
          <w:r w:rsidRPr="00130FEA">
            <w:rPr>
              <w:sz w:val="24"/>
              <w:szCs w:val="24"/>
              <w:lang w:val="bg-BG"/>
            </w:rPr>
            <w:lastRenderedPageBreak/>
            <w:t xml:space="preserve">Тежест на резултата от изпита – </w:t>
          </w:r>
          <w:r w:rsidRPr="0080354E">
            <w:rPr>
              <w:sz w:val="24"/>
              <w:szCs w:val="24"/>
              <w:lang w:val="bg-BG"/>
            </w:rPr>
            <w:t>10</w:t>
          </w:r>
          <w:r w:rsidRPr="00130FEA">
            <w:rPr>
              <w:sz w:val="24"/>
              <w:szCs w:val="24"/>
              <w:lang w:val="bg-BG"/>
            </w:rPr>
            <w:t>0 % от крайната оценка.</w:t>
          </w:r>
        </w:p>
        <w:p w:rsidR="00071625" w:rsidRDefault="001152DE"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9F4107" w:rsidRPr="00D67FCE" w:rsidRDefault="009F4107" w:rsidP="009F4107">
          <w:pPr>
            <w:ind w:left="720"/>
            <w:rPr>
              <w:szCs w:val="24"/>
              <w:lang w:val="bg-BG"/>
            </w:rPr>
          </w:pPr>
          <w:r w:rsidRPr="00D67FCE">
            <w:rPr>
              <w:szCs w:val="24"/>
              <w:lang w:val="bg-BG"/>
            </w:rPr>
            <w:t>Успешно завършилите обучението по тази учебна дисциплина:</w:t>
          </w:r>
        </w:p>
        <w:p w:rsidR="009F4107" w:rsidRPr="00D67FCE" w:rsidRDefault="009F4107" w:rsidP="009F4107">
          <w:pPr>
            <w:ind w:left="720"/>
            <w:rPr>
              <w:szCs w:val="24"/>
              <w:lang w:val="bg-BG"/>
            </w:rPr>
          </w:pPr>
          <w:r>
            <w:rPr>
              <w:b/>
              <w:szCs w:val="24"/>
              <w:lang w:val="bg-BG"/>
            </w:rPr>
            <w:tab/>
            <w:t>4.</w:t>
          </w:r>
          <w:r w:rsidRPr="00D67FCE">
            <w:rPr>
              <w:b/>
              <w:szCs w:val="24"/>
              <w:lang w:val="bg-BG"/>
            </w:rPr>
            <w:t>1</w:t>
          </w:r>
          <w:r w:rsidRPr="00D67FCE">
            <w:rPr>
              <w:szCs w:val="24"/>
              <w:lang w:val="bg-BG"/>
            </w:rPr>
            <w:t xml:space="preserve">. </w:t>
          </w:r>
          <w:r w:rsidRPr="0091296A">
            <w:rPr>
              <w:i/>
              <w:szCs w:val="24"/>
              <w:lang w:val="bg-BG"/>
            </w:rPr>
            <w:t>Щ</w:t>
          </w:r>
          <w:r w:rsidRPr="00D67FCE">
            <w:rPr>
              <w:i/>
              <w:szCs w:val="24"/>
              <w:lang w:val="bg-BG"/>
            </w:rPr>
            <w:t>е знаят</w:t>
          </w:r>
          <w:r w:rsidRPr="00D67FCE">
            <w:rPr>
              <w:szCs w:val="24"/>
              <w:lang w:val="bg-BG"/>
            </w:rPr>
            <w:t>:</w:t>
          </w:r>
        </w:p>
        <w:p w:rsidR="009F4107" w:rsidRPr="00AA2137" w:rsidRDefault="009F4107" w:rsidP="009F4107">
          <w:pPr>
            <w:numPr>
              <w:ilvl w:val="0"/>
              <w:numId w:val="4"/>
            </w:numPr>
            <w:spacing w:after="0" w:line="240" w:lineRule="auto"/>
            <w:contextualSpacing w:val="0"/>
            <w:rPr>
              <w:b/>
              <w:bCs/>
              <w:szCs w:val="24"/>
            </w:rPr>
          </w:pPr>
          <w:r>
            <w:rPr>
              <w:b/>
              <w:szCs w:val="24"/>
              <w:lang w:val="bg-BG"/>
            </w:rPr>
            <w:t>Същността на ЮЛНЦ;</w:t>
          </w:r>
        </w:p>
        <w:p w:rsidR="009F4107" w:rsidRPr="00AA2137" w:rsidRDefault="009F4107" w:rsidP="009F4107">
          <w:pPr>
            <w:numPr>
              <w:ilvl w:val="0"/>
              <w:numId w:val="4"/>
            </w:numPr>
            <w:spacing w:after="0" w:line="240" w:lineRule="auto"/>
            <w:contextualSpacing w:val="0"/>
            <w:rPr>
              <w:b/>
              <w:bCs/>
              <w:szCs w:val="24"/>
            </w:rPr>
          </w:pPr>
          <w:r>
            <w:rPr>
              <w:b/>
              <w:szCs w:val="24"/>
              <w:lang w:val="bg-BG"/>
            </w:rPr>
            <w:t>Конкретните особености на видовете ЮЛНЦ;</w:t>
          </w:r>
        </w:p>
        <w:p w:rsidR="009F4107" w:rsidRPr="00AA2137" w:rsidRDefault="009F4107" w:rsidP="009F4107">
          <w:pPr>
            <w:numPr>
              <w:ilvl w:val="0"/>
              <w:numId w:val="4"/>
            </w:numPr>
            <w:spacing w:after="0" w:line="240" w:lineRule="auto"/>
            <w:contextualSpacing w:val="0"/>
            <w:rPr>
              <w:b/>
              <w:bCs/>
              <w:szCs w:val="24"/>
            </w:rPr>
          </w:pPr>
          <w:r>
            <w:rPr>
              <w:b/>
              <w:szCs w:val="24"/>
              <w:lang w:val="bg-BG"/>
            </w:rPr>
            <w:t>Водещата практика по прилагане на актуалната правна уредба на ЮЛНЦ;</w:t>
          </w:r>
        </w:p>
        <w:p w:rsidR="009F4107" w:rsidRPr="0093043F" w:rsidRDefault="009F4107" w:rsidP="009F4107">
          <w:pPr>
            <w:numPr>
              <w:ilvl w:val="0"/>
              <w:numId w:val="4"/>
            </w:numPr>
            <w:spacing w:after="0" w:line="240" w:lineRule="auto"/>
            <w:contextualSpacing w:val="0"/>
            <w:rPr>
              <w:b/>
              <w:bCs/>
              <w:szCs w:val="24"/>
            </w:rPr>
          </w:pPr>
          <w:r>
            <w:rPr>
              <w:b/>
              <w:szCs w:val="24"/>
              <w:lang w:val="bg-BG"/>
            </w:rPr>
            <w:t>Тенденциите в развитието на идеите за ЮЛНЦ;</w:t>
          </w:r>
        </w:p>
        <w:p w:rsidR="009F4107" w:rsidRDefault="009F4107" w:rsidP="009F4107">
          <w:pPr>
            <w:numPr>
              <w:ilvl w:val="0"/>
              <w:numId w:val="4"/>
            </w:numPr>
            <w:spacing w:after="0" w:line="240" w:lineRule="auto"/>
            <w:contextualSpacing w:val="0"/>
            <w:rPr>
              <w:b/>
              <w:szCs w:val="24"/>
              <w:lang w:val="bg-BG"/>
            </w:rPr>
          </w:pPr>
          <w:r>
            <w:rPr>
              <w:b/>
              <w:szCs w:val="24"/>
              <w:lang w:val="bg-BG"/>
            </w:rPr>
            <w:t xml:space="preserve">Взаимовръзките на ЮЛНЦ с други институти на частното и публичното право право – тези на Общата част на Гражданското право; на останалите негови специални части; на Търговското право; на Конституционното и Данъчното право; </w:t>
          </w:r>
        </w:p>
        <w:p w:rsidR="009F4107" w:rsidRDefault="009F4107" w:rsidP="009F4107">
          <w:pPr>
            <w:ind w:left="1440"/>
            <w:rPr>
              <w:b/>
              <w:szCs w:val="24"/>
              <w:lang w:val="bg-BG"/>
            </w:rPr>
          </w:pPr>
          <w:r>
            <w:rPr>
              <w:b/>
              <w:szCs w:val="24"/>
              <w:lang w:val="bg-BG"/>
            </w:rPr>
            <w:t>4.</w:t>
          </w:r>
          <w:r w:rsidRPr="00D67FCE">
            <w:rPr>
              <w:b/>
              <w:szCs w:val="24"/>
              <w:lang w:val="bg-BG"/>
            </w:rPr>
            <w:t>2</w:t>
          </w:r>
          <w:r w:rsidRPr="0091296A">
            <w:rPr>
              <w:i/>
              <w:szCs w:val="24"/>
              <w:lang w:val="bg-BG"/>
            </w:rPr>
            <w:t>. Ще</w:t>
          </w:r>
          <w:r w:rsidRPr="00D67FCE">
            <w:rPr>
              <w:i/>
              <w:szCs w:val="24"/>
              <w:lang w:val="bg-BG"/>
            </w:rPr>
            <w:t xml:space="preserve"> могат</w:t>
          </w:r>
          <w:r>
            <w:rPr>
              <w:b/>
              <w:szCs w:val="24"/>
              <w:lang w:val="bg-BG"/>
            </w:rPr>
            <w:t>:</w:t>
          </w:r>
        </w:p>
        <w:p w:rsidR="009F4107" w:rsidRDefault="009F4107" w:rsidP="009F4107">
          <w:pPr>
            <w:numPr>
              <w:ilvl w:val="0"/>
              <w:numId w:val="4"/>
            </w:numPr>
            <w:spacing w:after="0" w:line="240" w:lineRule="auto"/>
            <w:contextualSpacing w:val="0"/>
            <w:rPr>
              <w:b/>
              <w:szCs w:val="24"/>
              <w:lang w:val="bg-BG"/>
            </w:rPr>
          </w:pPr>
          <w:r>
            <w:rPr>
              <w:b/>
              <w:szCs w:val="24"/>
              <w:lang w:val="bg-BG"/>
            </w:rPr>
            <w:t xml:space="preserve">Самостоятелно и коректно да боравят с правните понятия от областта на ЮЛНЦ; </w:t>
          </w:r>
        </w:p>
        <w:p w:rsidR="009F4107" w:rsidRDefault="009F4107" w:rsidP="009F4107">
          <w:pPr>
            <w:numPr>
              <w:ilvl w:val="0"/>
              <w:numId w:val="4"/>
            </w:numPr>
            <w:spacing w:after="0" w:line="240" w:lineRule="auto"/>
            <w:contextualSpacing w:val="0"/>
            <w:rPr>
              <w:b/>
              <w:szCs w:val="24"/>
              <w:lang w:val="bg-BG"/>
            </w:rPr>
          </w:pPr>
          <w:r>
            <w:rPr>
              <w:b/>
              <w:szCs w:val="24"/>
              <w:lang w:val="bg-BG"/>
            </w:rPr>
            <w:t>Да тълкуват уредбата на ЮЛНЦ и да я прилагат спрямо възникнала фактическа ситуация;</w:t>
          </w:r>
        </w:p>
        <w:p w:rsidR="009F4107" w:rsidRDefault="009F4107" w:rsidP="009F4107">
          <w:pPr>
            <w:numPr>
              <w:ilvl w:val="0"/>
              <w:numId w:val="4"/>
            </w:numPr>
            <w:spacing w:after="0" w:line="240" w:lineRule="auto"/>
            <w:contextualSpacing w:val="0"/>
            <w:rPr>
              <w:b/>
              <w:szCs w:val="24"/>
              <w:lang w:val="bg-BG"/>
            </w:rPr>
          </w:pPr>
          <w:r>
            <w:rPr>
              <w:b/>
              <w:szCs w:val="24"/>
              <w:lang w:val="bg-BG"/>
            </w:rPr>
            <w:t>Да анализират и аргументират (писмено и устно) решение по казуси или становище по изучаваната материя;</w:t>
          </w:r>
        </w:p>
        <w:p w:rsidR="009F4107" w:rsidRPr="009F4107" w:rsidRDefault="009F4107" w:rsidP="00FF4CA3">
          <w:pPr>
            <w:numPr>
              <w:ilvl w:val="0"/>
              <w:numId w:val="4"/>
            </w:numPr>
            <w:spacing w:after="0" w:line="240" w:lineRule="auto"/>
            <w:contextualSpacing w:val="0"/>
            <w:jc w:val="both"/>
            <w:rPr>
              <w:rFonts w:cs="Times New Roman"/>
              <w:szCs w:val="24"/>
              <w:lang w:val="bg-BG"/>
            </w:rPr>
          </w:pPr>
          <w:r w:rsidRPr="009F4107">
            <w:rPr>
              <w:b/>
              <w:szCs w:val="24"/>
              <w:lang w:val="bg-BG"/>
            </w:rPr>
            <w:t xml:space="preserve">Самостоятелно да изготвят елементарни документи, свързани с ЮЛНЦ (от типа на документи за регистрация, прекратяване и др. под.) </w:t>
          </w:r>
        </w:p>
        <w:p w:rsidR="009F4107" w:rsidRDefault="009F4107" w:rsidP="009F4107">
          <w:pPr>
            <w:spacing w:after="0" w:line="240" w:lineRule="auto"/>
            <w:ind w:left="720"/>
            <w:contextualSpacing w:val="0"/>
            <w:jc w:val="both"/>
            <w:rPr>
              <w:rFonts w:cs="Times New Roman"/>
              <w:szCs w:val="24"/>
              <w:lang w:val="bg-BG"/>
            </w:rPr>
          </w:pPr>
        </w:p>
        <w:p w:rsidR="00DA6080" w:rsidRPr="009F4107" w:rsidRDefault="009F4107" w:rsidP="009F4107">
          <w:pPr>
            <w:spacing w:after="0" w:line="240" w:lineRule="auto"/>
            <w:ind w:left="720"/>
            <w:contextualSpacing w:val="0"/>
            <w:jc w:val="both"/>
            <w:rPr>
              <w:rFonts w:cs="Times New Roman"/>
              <w:szCs w:val="24"/>
              <w:lang w:val="bg-BG"/>
            </w:rPr>
          </w:pPr>
          <w:r>
            <w:rPr>
              <w:szCs w:val="24"/>
              <w:lang w:val="bg-BG"/>
            </w:rPr>
            <w:t>Оценка Отличен (6) се поставя при изпълнение на всички критерии по т. 4.1 и 4.2. Оценка Среден (3) се поставя при изпълнение на критериите по т. 4.1. и поне един от критериите по т. 4.2. Мотив за поставяне на останалите успешни оценки е неизпълнението на някои от критериите по т. 4.2.</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Times New Roman" w:cs="Times New Roman"/>
          <w:szCs w:val="24"/>
          <w:lang w:val="bg-BG" w:eastAsia="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F4107" w:rsidP="009F4107">
          <w:pPr>
            <w:jc w:val="both"/>
            <w:rPr>
              <w:rFonts w:cs="Times New Roman"/>
              <w:szCs w:val="24"/>
              <w:lang w:val="bg-BG"/>
            </w:rPr>
          </w:pPr>
          <w:r w:rsidRPr="009F4107">
            <w:rPr>
              <w:rFonts w:eastAsia="Times New Roman" w:cs="Times New Roman"/>
              <w:szCs w:val="24"/>
              <w:lang w:val="bg-BG" w:eastAsia="bg-BG"/>
            </w:rPr>
            <w:t>Студентите трябва да знаят и/или да могат:</w:t>
          </w:r>
          <w:r>
            <w:rPr>
              <w:rFonts w:eastAsia="Times New Roman" w:cs="Times New Roman"/>
              <w:szCs w:val="24"/>
              <w:lang w:val="bg-BG" w:eastAsia="bg-BG"/>
            </w:rPr>
            <w:t xml:space="preserve"> - </w:t>
          </w:r>
          <w:r w:rsidRPr="009F4107">
            <w:rPr>
              <w:rFonts w:eastAsia="Times New Roman" w:cs="Times New Roman"/>
              <w:szCs w:val="24"/>
              <w:lang w:val="bg-BG" w:eastAsia="bg-BG"/>
            </w:rPr>
            <w:t xml:space="preserve">Да са усвоили базовите познания по изучаваните до (в) момента други учебни дисциплини - Гражданско право – обща част, Обща теория на правото, Римско частно право, Конституционно право, Административно право и процес, История на правото, Чужди езици (латински и съвременни), Икономикс и др.  </w:t>
          </w:r>
          <w:r>
            <w:rPr>
              <w:rFonts w:eastAsia="Times New Roman" w:cs="Times New Roman"/>
              <w:szCs w:val="24"/>
              <w:lang w:val="bg-BG" w:eastAsia="bg-BG"/>
            </w:rPr>
            <w:t>-</w:t>
          </w:r>
          <w:r w:rsidRPr="009F4107">
            <w:rPr>
              <w:rFonts w:eastAsia="Times New Roman" w:cs="Times New Roman"/>
              <w:szCs w:val="24"/>
              <w:lang w:val="bg-BG" w:eastAsia="bg-BG"/>
            </w:rPr>
            <w:tab/>
            <w:t xml:space="preserve">Да се изразяват точно и логично на правен език, използвайки свободно терминологичния апарат; </w:t>
          </w:r>
          <w:r w:rsidRPr="009F4107">
            <w:rPr>
              <w:rFonts w:eastAsia="Times New Roman" w:cs="Times New Roman" w:hint="eastAsia"/>
              <w:szCs w:val="24"/>
              <w:lang w:val="bg-BG" w:eastAsia="bg-BG"/>
            </w:rPr>
            <w:t></w:t>
          </w:r>
          <w:r w:rsidRPr="009F4107">
            <w:rPr>
              <w:rFonts w:eastAsia="Times New Roman" w:cs="Times New Roman"/>
              <w:szCs w:val="24"/>
              <w:lang w:val="bg-BG" w:eastAsia="bg-BG"/>
            </w:rPr>
            <w:tab/>
            <w:t xml:space="preserve">Да мислят логически по зададена правна тема; </w:t>
          </w:r>
          <w:r>
            <w:rPr>
              <w:rFonts w:eastAsia="Times New Roman" w:cs="Times New Roman"/>
              <w:szCs w:val="24"/>
              <w:lang w:val="bg-BG" w:eastAsia="bg-BG"/>
            </w:rPr>
            <w:t xml:space="preserve">- </w:t>
          </w:r>
          <w:r w:rsidRPr="009F4107">
            <w:rPr>
              <w:rFonts w:eastAsia="Times New Roman" w:cs="Times New Roman"/>
              <w:szCs w:val="24"/>
              <w:lang w:val="bg-BG" w:eastAsia="bg-BG"/>
            </w:rPr>
            <w:tab/>
            <w:t xml:space="preserve">Да формулират самостоятелно своя правна теза, както и да я аргументират; </w:t>
          </w:r>
          <w:r>
            <w:rPr>
              <w:rFonts w:eastAsia="Times New Roman" w:cs="Times New Roman"/>
              <w:szCs w:val="24"/>
              <w:lang w:val="bg-BG" w:eastAsia="bg-BG"/>
            </w:rPr>
            <w:t xml:space="preserve">- </w:t>
          </w:r>
          <w:r w:rsidRPr="009F4107">
            <w:rPr>
              <w:rFonts w:eastAsia="Times New Roman" w:cs="Times New Roman"/>
              <w:szCs w:val="24"/>
              <w:lang w:val="bg-BG" w:eastAsia="bg-BG"/>
            </w:rPr>
            <w:t xml:space="preserve">Да могат да тълкуват и прилагат правна материя, усвоено посредством казуси от изучените до момента предмети. </w:t>
          </w:r>
          <w:r>
            <w:rPr>
              <w:rFonts w:eastAsia="Times New Roman" w:cs="Times New Roman"/>
              <w:szCs w:val="24"/>
              <w:lang w:val="bg-BG" w:eastAsia="bg-BG"/>
            </w:rPr>
            <w:t>-</w:t>
          </w:r>
          <w:r w:rsidRPr="009F4107">
            <w:rPr>
              <w:rFonts w:eastAsia="Times New Roman" w:cs="Times New Roman"/>
              <w:szCs w:val="24"/>
              <w:lang w:val="bg-BG" w:eastAsia="bg-BG"/>
            </w:rPr>
            <w:tab/>
            <w:t>Същността на основни гражданскоправни институти (особено що се отнася до понятието за юридическо лице), водещата практика по тях и тенденциите в развитието им;</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DE" w:rsidRDefault="001152DE" w:rsidP="00F44CAE">
      <w:pPr>
        <w:spacing w:after="0" w:line="240" w:lineRule="auto"/>
      </w:pPr>
      <w:r>
        <w:separator/>
      </w:r>
    </w:p>
  </w:endnote>
  <w:endnote w:type="continuationSeparator" w:id="0">
    <w:p w:rsidR="001152DE" w:rsidRDefault="001152D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0C1BA6">
    <w:pPr>
      <w:pStyle w:val="Footer"/>
      <w:jc w:val="right"/>
    </w:pPr>
    <w:r>
      <w:fldChar w:fldCharType="begin"/>
    </w:r>
    <w:r w:rsidR="00DC03AF">
      <w:instrText xml:space="preserve"> PAGE   \* MERGEFORMAT </w:instrText>
    </w:r>
    <w:r>
      <w:fldChar w:fldCharType="separate"/>
    </w:r>
    <w:r w:rsidR="000A4E2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DE" w:rsidRDefault="001152DE" w:rsidP="00F44CAE">
      <w:pPr>
        <w:spacing w:after="0" w:line="240" w:lineRule="auto"/>
      </w:pPr>
      <w:r>
        <w:separator/>
      </w:r>
    </w:p>
  </w:footnote>
  <w:footnote w:type="continuationSeparator" w:id="0">
    <w:p w:rsidR="001152DE" w:rsidRDefault="001152D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35B89"/>
    <w:multiLevelType w:val="hybridMultilevel"/>
    <w:tmpl w:val="E4FC2C6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21398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6897"/>
    <w:rsid w:val="0005345F"/>
    <w:rsid w:val="00056504"/>
    <w:rsid w:val="00061393"/>
    <w:rsid w:val="0006374F"/>
    <w:rsid w:val="00071625"/>
    <w:rsid w:val="00073B87"/>
    <w:rsid w:val="00085031"/>
    <w:rsid w:val="00086F5A"/>
    <w:rsid w:val="00095759"/>
    <w:rsid w:val="000A4E2F"/>
    <w:rsid w:val="000A566C"/>
    <w:rsid w:val="000C1BA6"/>
    <w:rsid w:val="000D01CD"/>
    <w:rsid w:val="000D0DBC"/>
    <w:rsid w:val="000D1387"/>
    <w:rsid w:val="000D3E01"/>
    <w:rsid w:val="000E4B3C"/>
    <w:rsid w:val="000E6BFF"/>
    <w:rsid w:val="000F3FF7"/>
    <w:rsid w:val="00100BC6"/>
    <w:rsid w:val="001101B4"/>
    <w:rsid w:val="001152DE"/>
    <w:rsid w:val="00130FEA"/>
    <w:rsid w:val="00135FE0"/>
    <w:rsid w:val="00177D18"/>
    <w:rsid w:val="00181310"/>
    <w:rsid w:val="001D2ED5"/>
    <w:rsid w:val="00211F99"/>
    <w:rsid w:val="00214378"/>
    <w:rsid w:val="0028083F"/>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F4107"/>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C7C5D"/>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1BA1"/>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9BDDE-9F68-4615-AD52-ED82EDF9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Indent">
    <w:name w:val="Body Text Indent"/>
    <w:basedOn w:val="Normal"/>
    <w:link w:val="BodyTextIndentChar"/>
    <w:rsid w:val="00130FEA"/>
    <w:pPr>
      <w:spacing w:after="0" w:line="240" w:lineRule="auto"/>
      <w:ind w:firstLine="1134"/>
      <w:contextualSpacing w:val="0"/>
      <w:jc w:val="both"/>
    </w:pPr>
    <w:rPr>
      <w:rFonts w:eastAsia="Times New Roman" w:cs="Times New Roman"/>
      <w:sz w:val="28"/>
      <w:szCs w:val="20"/>
      <w:lang w:val="bg-BG" w:eastAsia="bg-BG"/>
    </w:rPr>
  </w:style>
  <w:style w:type="character" w:customStyle="1" w:styleId="BodyTextIndentChar">
    <w:name w:val="Body Text Indent Char"/>
    <w:basedOn w:val="DefaultParagraphFont"/>
    <w:link w:val="BodyTextIndent"/>
    <w:rsid w:val="00130FEA"/>
    <w:rPr>
      <w:rFonts w:ascii="Times New Roman" w:eastAsia="Times New Roman" w:hAnsi="Times New Roman" w:cs="Times New Roman"/>
      <w:sz w:val="28"/>
      <w:szCs w:val="20"/>
      <w:lang w:val="bg-BG" w:eastAsia="bg-BG"/>
    </w:rPr>
  </w:style>
  <w:style w:type="character" w:customStyle="1" w:styleId="apple-converted-space">
    <w:name w:val="apple-converted-space"/>
    <w:basedOn w:val="DefaultParagraphFont"/>
    <w:rsid w:val="00130FEA"/>
  </w:style>
  <w:style w:type="character" w:customStyle="1" w:styleId="Bodytext2">
    <w:name w:val="Body text (2)_"/>
    <w:basedOn w:val="DefaultParagraphFont"/>
    <w:link w:val="Bodytext20"/>
    <w:rsid w:val="00130FEA"/>
    <w:rPr>
      <w:sz w:val="23"/>
      <w:szCs w:val="23"/>
      <w:shd w:val="clear" w:color="auto" w:fill="FFFFFF"/>
    </w:rPr>
  </w:style>
  <w:style w:type="paragraph" w:customStyle="1" w:styleId="Bodytext20">
    <w:name w:val="Body text (2)"/>
    <w:basedOn w:val="Normal"/>
    <w:link w:val="Bodytext2"/>
    <w:rsid w:val="00130FEA"/>
    <w:pPr>
      <w:shd w:val="clear" w:color="auto" w:fill="FFFFFF"/>
      <w:spacing w:before="240" w:after="0" w:line="274" w:lineRule="exact"/>
      <w:contextualSpacing w:val="0"/>
    </w:pPr>
    <w:rPr>
      <w:rFonts w:asciiTheme="minorHAnsi" w:hAnsiTheme="minorHAnsi"/>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913">
      <w:bodyDiv w:val="1"/>
      <w:marLeft w:val="0"/>
      <w:marRight w:val="0"/>
      <w:marTop w:val="0"/>
      <w:marBottom w:val="0"/>
      <w:divBdr>
        <w:top w:val="none" w:sz="0" w:space="0" w:color="auto"/>
        <w:left w:val="none" w:sz="0" w:space="0" w:color="auto"/>
        <w:bottom w:val="none" w:sz="0" w:space="0" w:color="auto"/>
        <w:right w:val="none" w:sz="0" w:space="0" w:color="auto"/>
      </w:divBdr>
      <w:divsChild>
        <w:div w:id="2029479317">
          <w:marLeft w:val="0"/>
          <w:marRight w:val="0"/>
          <w:marTop w:val="0"/>
          <w:marBottom w:val="0"/>
          <w:divBdr>
            <w:top w:val="none" w:sz="0" w:space="0" w:color="auto"/>
            <w:left w:val="none" w:sz="0" w:space="0" w:color="auto"/>
            <w:bottom w:val="none" w:sz="0" w:space="0" w:color="auto"/>
            <w:right w:val="none" w:sz="0" w:space="0" w:color="auto"/>
          </w:divBdr>
          <w:divsChild>
            <w:div w:id="1673558535">
              <w:marLeft w:val="-225"/>
              <w:marRight w:val="-225"/>
              <w:marTop w:val="0"/>
              <w:marBottom w:val="0"/>
              <w:divBdr>
                <w:top w:val="none" w:sz="0" w:space="0" w:color="auto"/>
                <w:left w:val="none" w:sz="0" w:space="0" w:color="auto"/>
                <w:bottom w:val="none" w:sz="0" w:space="0" w:color="auto"/>
                <w:right w:val="none" w:sz="0" w:space="0" w:color="auto"/>
              </w:divBdr>
              <w:divsChild>
                <w:div w:id="284241862">
                  <w:marLeft w:val="0"/>
                  <w:marRight w:val="0"/>
                  <w:marTop w:val="0"/>
                  <w:marBottom w:val="0"/>
                  <w:divBdr>
                    <w:top w:val="none" w:sz="0" w:space="0" w:color="auto"/>
                    <w:left w:val="none" w:sz="0" w:space="0" w:color="auto"/>
                    <w:bottom w:val="none" w:sz="0" w:space="0" w:color="auto"/>
                    <w:right w:val="none" w:sz="0" w:space="0" w:color="auto"/>
                  </w:divBdr>
                  <w:divsChild>
                    <w:div w:id="4234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6206">
          <w:marLeft w:val="0"/>
          <w:marRight w:val="0"/>
          <w:marTop w:val="0"/>
          <w:marBottom w:val="0"/>
          <w:divBdr>
            <w:top w:val="none" w:sz="0" w:space="0" w:color="auto"/>
            <w:left w:val="none" w:sz="0" w:space="0" w:color="auto"/>
            <w:bottom w:val="none" w:sz="0" w:space="0" w:color="auto"/>
            <w:right w:val="none" w:sz="0" w:space="0" w:color="auto"/>
          </w:divBdr>
          <w:divsChild>
            <w:div w:id="48115124">
              <w:marLeft w:val="-225"/>
              <w:marRight w:val="-225"/>
              <w:marTop w:val="0"/>
              <w:marBottom w:val="0"/>
              <w:divBdr>
                <w:top w:val="none" w:sz="0" w:space="0" w:color="auto"/>
                <w:left w:val="none" w:sz="0" w:space="0" w:color="auto"/>
                <w:bottom w:val="none" w:sz="0" w:space="0" w:color="auto"/>
                <w:right w:val="none" w:sz="0" w:space="0" w:color="auto"/>
              </w:divBdr>
              <w:divsChild>
                <w:div w:id="6831802">
                  <w:marLeft w:val="0"/>
                  <w:marRight w:val="0"/>
                  <w:marTop w:val="0"/>
                  <w:marBottom w:val="0"/>
                  <w:divBdr>
                    <w:top w:val="none" w:sz="0" w:space="0" w:color="auto"/>
                    <w:left w:val="none" w:sz="0" w:space="0" w:color="auto"/>
                    <w:bottom w:val="none" w:sz="0" w:space="0" w:color="auto"/>
                    <w:right w:val="none" w:sz="0" w:space="0" w:color="auto"/>
                  </w:divBdr>
                  <w:divsChild>
                    <w:div w:id="103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73B7C"/>
    <w:rsid w:val="00A908FB"/>
    <w:rsid w:val="00A92941"/>
    <w:rsid w:val="00AE0D7F"/>
    <w:rsid w:val="00B3644C"/>
    <w:rsid w:val="00B40FB1"/>
    <w:rsid w:val="00BA3784"/>
    <w:rsid w:val="00C35A82"/>
    <w:rsid w:val="00CA6C0F"/>
    <w:rsid w:val="00D323B8"/>
    <w:rsid w:val="00D56E53"/>
    <w:rsid w:val="00D70D61"/>
    <w:rsid w:val="00D76E75"/>
    <w:rsid w:val="00DC5581"/>
    <w:rsid w:val="00E037C5"/>
    <w:rsid w:val="00E25F5E"/>
    <w:rsid w:val="00E671CD"/>
    <w:rsid w:val="00E91AA1"/>
    <w:rsid w:val="00E9386B"/>
    <w:rsid w:val="00EB56A5"/>
    <w:rsid w:val="00F15783"/>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0ED9-0E6C-44D8-962F-5F728423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1162</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2017-07-28T11:31:00Z</dcterms:created>
  <dcterms:modified xsi:type="dcterms:W3CDTF">2017-07-28T11:31:00Z</dcterms:modified>
</cp:coreProperties>
</file>