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6" w:type="pct"/>
        <w:jc w:val="center"/>
        <w:tblCellMar>
          <w:left w:w="70" w:type="dxa"/>
          <w:right w:w="70" w:type="dxa"/>
        </w:tblCellMar>
        <w:tblLook w:val="04A0" w:firstRow="1" w:lastRow="0" w:firstColumn="1" w:lastColumn="0" w:noHBand="0" w:noVBand="1"/>
      </w:tblPr>
      <w:tblGrid>
        <w:gridCol w:w="9203"/>
      </w:tblGrid>
      <w:tr w:rsidR="007C0C25" w:rsidRPr="00023BB2" w:rsidTr="007C0C25">
        <w:trPr>
          <w:trHeight w:val="360"/>
          <w:jc w:val="center"/>
        </w:trPr>
        <w:tc>
          <w:tcPr>
            <w:tcW w:w="9203" w:type="dxa"/>
            <w:shd w:val="clear" w:color="000000" w:fill="0D0D0D"/>
            <w:noWrap/>
            <w:vAlign w:val="center"/>
          </w:tcPr>
          <w:p w:rsidR="007C0C25" w:rsidRPr="0095598D" w:rsidRDefault="007C0C25" w:rsidP="00635622">
            <w:pPr>
              <w:rPr>
                <w:rFonts w:ascii="Cambria" w:eastAsia="Times New Roman" w:hAnsi="Cambria" w:cs="Calibri"/>
                <w:b/>
                <w:bCs/>
                <w:color w:val="F2F29C"/>
                <w:sz w:val="36"/>
                <w:szCs w:val="28"/>
                <w:lang w:eastAsia="bg-BG"/>
              </w:rPr>
            </w:pPr>
            <w:r w:rsidRPr="0095598D">
              <w:rPr>
                <w:rFonts w:ascii="Cambria" w:eastAsia="Times New Roman" w:hAnsi="Cambria" w:cs="Calibri"/>
                <w:b/>
                <w:bCs/>
                <w:color w:val="F2F29C"/>
                <w:sz w:val="36"/>
                <w:szCs w:val="28"/>
                <w:lang w:eastAsia="bg-BG"/>
              </w:rPr>
              <w:t>Учебен план</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Филологически факултет</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 xml:space="preserve">Професионално направление: 2. 1. Филология </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Специалност:  Руски език и литература</w:t>
            </w:r>
          </w:p>
        </w:tc>
      </w:tr>
      <w:tr w:rsidR="007C0C25" w:rsidRPr="00023BB2" w:rsidTr="007C0C25">
        <w:trPr>
          <w:trHeight w:val="360"/>
          <w:jc w:val="center"/>
        </w:trPr>
        <w:tc>
          <w:tcPr>
            <w:tcW w:w="9203" w:type="dxa"/>
            <w:shd w:val="clear" w:color="auto" w:fill="auto"/>
            <w:noWrap/>
            <w:vAlign w:val="center"/>
          </w:tcPr>
          <w:p w:rsidR="007C0C25" w:rsidRDefault="007C0C25" w:rsidP="002F5B92">
            <w:pPr>
              <w:pStyle w:val="a3"/>
            </w:pPr>
            <w:r w:rsidRPr="00023BB2">
              <w:t>Магистърска програма: Актуална русистика (езиковедски и литературоведски профил)</w:t>
            </w:r>
            <w:r>
              <w:t xml:space="preserve"> </w:t>
            </w:r>
          </w:p>
          <w:p w:rsidR="007C0C25" w:rsidRDefault="007C0C25" w:rsidP="002F5B92">
            <w:pPr>
              <w:pStyle w:val="a3"/>
            </w:pPr>
            <w:r>
              <w:t>Учебните планове са приети на ФС на ФФ на ПУ „Паисий Хилендарски” с Протокол № 142 / 04.07.2011. Програмата е утвърдена с решение на Академичния съвет на ПУ „Паисий Хилендарски” (Протокол № 6 / 18.07.2011, т.19).</w:t>
            </w:r>
          </w:p>
          <w:p w:rsidR="007C0C25" w:rsidRPr="005276A6" w:rsidRDefault="007C0C25" w:rsidP="005276A6">
            <w:pPr>
              <w:rPr>
                <w:lang w:eastAsia="bg-BG"/>
              </w:rPr>
            </w:pPr>
          </w:p>
          <w:p w:rsidR="007C0C25" w:rsidRPr="00023BB2" w:rsidRDefault="007C0C25" w:rsidP="00B53D76">
            <w:pPr>
              <w:pStyle w:val="a3"/>
              <w:rPr>
                <w:rFonts w:cs="Calibri"/>
                <w:szCs w:val="28"/>
              </w:rPr>
            </w:pPr>
            <w:r w:rsidRPr="00023BB2">
              <w:t>Анотация</w:t>
            </w:r>
          </w:p>
        </w:tc>
      </w:tr>
      <w:tr w:rsidR="007C0C25" w:rsidRPr="00023BB2" w:rsidTr="007C0C25">
        <w:trPr>
          <w:trHeight w:val="399"/>
          <w:jc w:val="center"/>
        </w:trPr>
        <w:tc>
          <w:tcPr>
            <w:tcW w:w="9203" w:type="dxa"/>
            <w:shd w:val="clear" w:color="000000" w:fill="EBF1DE"/>
            <w:noWrap/>
            <w:vAlign w:val="center"/>
          </w:tcPr>
          <w:p w:rsidR="007C0C25" w:rsidRPr="00023BB2" w:rsidRDefault="007C0C25" w:rsidP="007E39B5">
            <w:pPr>
              <w:pStyle w:val="textarea"/>
            </w:pPr>
            <w:r w:rsidRPr="00023BB2">
              <w:t>Магистърската програма „Актуална русистика” е ориентирана към специалисти с бакалавърска или магистърска степен в областта на хуманитарните науки, които проявяват интерес към руския език, литература и култура (в парадигмата на съвременните теории), както и към редица приложни аспекти на изследването и преподаването на руския език.</w:t>
            </w:r>
          </w:p>
          <w:p w:rsidR="007C0C25" w:rsidRPr="00023BB2" w:rsidRDefault="007C0C25" w:rsidP="007E39B5">
            <w:pPr>
              <w:pStyle w:val="textarea"/>
            </w:pPr>
            <w:r w:rsidRPr="00023BB2">
              <w:t xml:space="preserve">Целта на магистърската програма е да готви висококвалифицирани специалисти в научноизследователската и преподавателската сфера. Лекционните курсове, включени в учебния план, задълбочават и разширяват знанията на студентите по актуални въпроси в областта на лингвистиката, теорията на литературата, теорията и практиката на превода, литературната и езиковата комуникация. </w:t>
            </w:r>
          </w:p>
          <w:p w:rsidR="007C0C25" w:rsidRPr="00023BB2" w:rsidRDefault="007C0C25" w:rsidP="007E39B5">
            <w:pPr>
              <w:pStyle w:val="textarea"/>
            </w:pPr>
            <w:r w:rsidRPr="00023BB2">
              <w:t>Сред задачите е запознаване с теорията и техниката на научното изследване, предвиден е практикум по руски език за усъвършенстване на езиковата подготовка.</w:t>
            </w:r>
          </w:p>
          <w:p w:rsidR="007C0C25" w:rsidRPr="00023BB2" w:rsidRDefault="007C0C25" w:rsidP="007E39B5">
            <w:pPr>
              <w:pStyle w:val="textarea"/>
            </w:pPr>
          </w:p>
        </w:tc>
      </w:tr>
      <w:tr w:rsidR="007C0C25" w:rsidRPr="00023BB2" w:rsidTr="007C0C25">
        <w:trPr>
          <w:trHeight w:val="255"/>
          <w:jc w:val="center"/>
        </w:trPr>
        <w:tc>
          <w:tcPr>
            <w:tcW w:w="9203" w:type="dxa"/>
            <w:shd w:val="clear" w:color="000000" w:fill="EBF1DE"/>
            <w:noWrap/>
            <w:vAlign w:val="center"/>
          </w:tcPr>
          <w:p w:rsidR="007C0C25" w:rsidRPr="00023BB2" w:rsidRDefault="007C0C25" w:rsidP="003D4E75">
            <w:pPr>
              <w:pStyle w:val="textarea"/>
            </w:pPr>
            <w:r w:rsidRPr="00023BB2">
              <w:t xml:space="preserve">В съответствие със спецификата на магистърската програма, двата профила (езиковедски и литературоведски), нейния капацитет, поставените цели и задачи, обучението е организирано в </w:t>
            </w:r>
            <w:r w:rsidRPr="00C1670C">
              <w:rPr>
                <w:lang w:val="ru-RU"/>
              </w:rPr>
              <w:t>два</w:t>
            </w:r>
            <w:r w:rsidRPr="00023BB2">
              <w:t xml:space="preserve"> семестъра.</w:t>
            </w:r>
          </w:p>
          <w:p w:rsidR="007C0C25" w:rsidRPr="00023BB2" w:rsidRDefault="007C0C25" w:rsidP="00A203CA">
            <w:pPr>
              <w:pStyle w:val="textarea"/>
            </w:pPr>
            <w:r w:rsidRPr="00023BB2">
              <w:t xml:space="preserve">В първи и втори семестър са включени по 3 общи за двата профила дисциплини, въвеждащи основния корпус профилиращи: задължителни и избираеми. </w:t>
            </w:r>
            <w:r>
              <w:t>С</w:t>
            </w:r>
            <w:r w:rsidRPr="00023BB2">
              <w:t xml:space="preserve">пециалното обучение е подкрепено от </w:t>
            </w:r>
            <w:r w:rsidRPr="00023BB2">
              <w:rPr>
                <w:i/>
              </w:rPr>
              <w:t>Практикум по руски език</w:t>
            </w:r>
            <w:r w:rsidRPr="00023BB2">
              <w:t xml:space="preserve">, чиято задача е да осигурява поддържане и надграждане на нивото на практическо владеене на базисния за програмата език. </w:t>
            </w:r>
          </w:p>
          <w:p w:rsidR="007C0C25" w:rsidRPr="00023BB2" w:rsidRDefault="007C0C25" w:rsidP="00A203CA">
            <w:pPr>
              <w:pStyle w:val="textarea"/>
            </w:pP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Учебните програми на общите за двата профила дисциплини задават фундаментални знания и очертават фона и тенденциите в проблематиката на специалността (</w:t>
            </w:r>
            <w:r w:rsidRPr="00023BB2">
              <w:rPr>
                <w:i/>
              </w:rPr>
              <w:t xml:space="preserve">Антропология на славяните; </w:t>
            </w:r>
            <w:r>
              <w:rPr>
                <w:i/>
              </w:rPr>
              <w:t>Език и междукултурна комуникация</w:t>
            </w:r>
            <w:r w:rsidRPr="00023BB2">
              <w:rPr>
                <w:i/>
              </w:rPr>
              <w:t>;</w:t>
            </w:r>
            <w:r>
              <w:rPr>
                <w:i/>
              </w:rPr>
              <w:t xml:space="preserve"> Методика на научното изследване</w:t>
            </w:r>
            <w:r w:rsidRPr="00023BB2">
              <w:t>).</w:t>
            </w:r>
          </w:p>
          <w:p w:rsidR="007C0C25" w:rsidRPr="00023BB2" w:rsidRDefault="007C0C25" w:rsidP="00B1776C">
            <w:pPr>
              <w:pStyle w:val="textarea"/>
            </w:pPr>
            <w:r w:rsidRPr="00023BB2">
              <w:t xml:space="preserve">Програмите на профилираните дисциплини (задължителни и избираеми) предполагат поддържане и задоволяване на специфичен интерес, </w:t>
            </w:r>
            <w:r w:rsidRPr="00023BB2">
              <w:rPr>
                <w:u w:val="single"/>
              </w:rPr>
              <w:t>от една страна</w:t>
            </w:r>
            <w:r w:rsidRPr="00023BB2">
              <w:t xml:space="preserve">, към граматиката и прагматиката, проблемите на сравнително-историческото и съпоставителното езикознание, на междукултурната </w:t>
            </w:r>
            <w:r w:rsidRPr="00023BB2">
              <w:lastRenderedPageBreak/>
              <w:t>комуникация, на фразеологията, етно- и психолингвистиката, на когнитивната лингвистика; специално внимание е отделено на проблемите на стилистиката, културата на общуване, техниката на превод и превключване на езиковия и културен код.</w:t>
            </w:r>
          </w:p>
          <w:p w:rsidR="007C0C25" w:rsidRPr="00023BB2" w:rsidRDefault="007C0C25" w:rsidP="00B1776C">
            <w:pPr>
              <w:pStyle w:val="textarea"/>
            </w:pPr>
            <w:r w:rsidRPr="00023BB2">
              <w:rPr>
                <w:u w:val="single"/>
              </w:rPr>
              <w:t>От друга</w:t>
            </w:r>
            <w:r w:rsidRPr="00023BB2">
              <w:t xml:space="preserve">, в предложения корпус литературоведски дисциплини акцентите са върху общите параметри на литературната комуникация, типологията и рецепцията на руската литература, проблемите и характеристиките на средновековната литература и фолклор, литературата от 19 и 20 век, съвременната руска проза. </w:t>
            </w:r>
          </w:p>
          <w:p w:rsidR="007C0C25" w:rsidRPr="00023BB2" w:rsidRDefault="007C0C25" w:rsidP="00B1776C">
            <w:pPr>
              <w:pStyle w:val="textarea"/>
            </w:pPr>
            <w:r w:rsidRPr="00023BB2">
              <w:rPr>
                <w:u w:val="single"/>
              </w:rPr>
              <w:t>Практикумът</w:t>
            </w:r>
            <w:r w:rsidRPr="00023BB2">
              <w:t xml:space="preserve"> обслужва и постъпателно облекчава възприемането на теоретичните и специализираните модули, въвежда в метаезика на специалността, организира чрез функционален подход базисните езикови знания и умения.</w:t>
            </w:r>
          </w:p>
          <w:p w:rsidR="007C0C25" w:rsidRPr="00023BB2" w:rsidRDefault="007C0C25" w:rsidP="007E39B5">
            <w:pPr>
              <w:pStyle w:val="textarea"/>
            </w:pPr>
            <w:r w:rsidRPr="00023BB2">
              <w:rPr>
                <w:u w:val="single"/>
              </w:rPr>
              <w:t>Във финалния корпус</w:t>
            </w:r>
            <w:r w:rsidRPr="00023BB2">
              <w:t xml:space="preserve"> дисциплини присъства </w:t>
            </w:r>
            <w:r>
              <w:t>Дипломен семинар, кой</w:t>
            </w:r>
            <w:r w:rsidRPr="00023BB2">
              <w:t>то осигурява подготовка за успешното завършване на програмата.</w:t>
            </w:r>
          </w:p>
          <w:p w:rsidR="007C0C25" w:rsidRPr="00023BB2" w:rsidRDefault="007C0C25" w:rsidP="00B1776C">
            <w:pPr>
              <w:pStyle w:val="textarea"/>
            </w:pPr>
            <w:r w:rsidRPr="00023BB2">
              <w:t>Учебният план като цяло включва необходимия комплекс научни и практически знания, осигуряващи очакваните компетенции и умения, които студентите ще получат след завършване на обучението си.</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lastRenderedPageBreak/>
              <w:t>Осигурен е пълен и свободен достъп (за студенти и кандидат-студенти) до целия пакет информация относно предлаганото обучение. На официалната страница на Катедрата по Руска филология са публикувани условията за кандидатстване, общите и специфични условия и форми на прием, учебният план и програмите на дисциплините, изграждащи двата блока на магистърската програма.</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Професионална квалификация: филолог</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Равнище на квалификация</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B53D76">
            <w:pPr>
              <w:pStyle w:val="a3"/>
              <w:rPr>
                <w:rFonts w:ascii="Arial" w:hAnsi="Arial" w:cs="Arial"/>
                <w:sz w:val="20"/>
                <w:szCs w:val="20"/>
              </w:rPr>
            </w:pPr>
            <w:r w:rsidRPr="00023BB2">
              <w:t>Образователно-квалификационна степен</w:t>
            </w:r>
            <w:r w:rsidRPr="00023BB2">
              <w:rPr>
                <w:lang w:val="ru-RU"/>
              </w:rPr>
              <w:tab/>
            </w:r>
            <w:r w:rsidRPr="00023BB2">
              <w:rPr>
                <w:bdr w:val="single" w:sz="12" w:space="0" w:color="943634"/>
              </w:rPr>
              <w:t xml:space="preserve">Магистър по </w:t>
            </w:r>
            <w:r>
              <w:rPr>
                <w:bdr w:val="single" w:sz="12" w:space="0" w:color="943634"/>
              </w:rPr>
              <w:t xml:space="preserve">руска </w:t>
            </w:r>
            <w:r w:rsidRPr="00023BB2">
              <w:rPr>
                <w:bdr w:val="single" w:sz="12" w:space="0" w:color="943634"/>
              </w:rPr>
              <w:t>филология</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Специфични изисквания за достъп (прием)</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rPr>
                <w:u w:val="single"/>
              </w:rPr>
            </w:pPr>
            <w:r w:rsidRPr="00023BB2">
              <w:rPr>
                <w:u w:val="single"/>
              </w:rPr>
              <w:t>Форма на прием:</w:t>
            </w:r>
          </w:p>
          <w:p w:rsidR="007C0C25" w:rsidRPr="00023BB2" w:rsidRDefault="007C0C25" w:rsidP="007E39B5">
            <w:pPr>
              <w:pStyle w:val="textarea"/>
            </w:pPr>
            <w:r w:rsidRPr="00023BB2">
              <w:t>Общи условия - класирането се извършва по документи или с конкурсен изпит с изискване за среден успех от следването в бакалавърска степен не по-нисък от Добър 4.00.</w:t>
            </w:r>
          </w:p>
          <w:p w:rsidR="007C0C25" w:rsidRPr="00023BB2" w:rsidRDefault="007C0C25" w:rsidP="007E39B5">
            <w:pPr>
              <w:pStyle w:val="textarea"/>
            </w:pPr>
          </w:p>
          <w:p w:rsidR="007C0C25" w:rsidRPr="00023BB2" w:rsidRDefault="007C0C25" w:rsidP="007E39B5">
            <w:pPr>
              <w:pStyle w:val="textarea"/>
            </w:pPr>
            <w:r w:rsidRPr="00023BB2">
              <w:t xml:space="preserve">А. По документи: </w:t>
            </w:r>
          </w:p>
          <w:p w:rsidR="007C0C25" w:rsidRPr="00023BB2" w:rsidRDefault="007C0C25" w:rsidP="007E39B5">
            <w:pPr>
              <w:pStyle w:val="textarea"/>
            </w:pPr>
            <w:r w:rsidRPr="00023BB2">
              <w:t>1. за кандидати, завършили специалностите Руска филология, Български език и руски език, Руски език и западен език и Приложна лингвистика с руски език – бакалавърска или магистърска степен;</w:t>
            </w:r>
          </w:p>
          <w:p w:rsidR="007C0C25" w:rsidRPr="00023BB2" w:rsidRDefault="007C0C25" w:rsidP="007E39B5">
            <w:pPr>
              <w:pStyle w:val="textarea"/>
              <w:rPr>
                <w:lang w:val="ru-RU"/>
              </w:rPr>
            </w:pPr>
            <w:r w:rsidRPr="00023BB2">
              <w:t xml:space="preserve">2. за кандидати, завършили филологически специалности и притежаващи </w:t>
            </w:r>
            <w:r w:rsidRPr="00023BB2">
              <w:rPr>
                <w:lang w:val="ru-RU"/>
              </w:rPr>
              <w:t>сертификат за владеене на руски език (ниво В 2 или по-високо)</w:t>
            </w:r>
          </w:p>
          <w:p w:rsidR="007C0C25" w:rsidRPr="00023BB2" w:rsidRDefault="007C0C25" w:rsidP="007E39B5">
            <w:pPr>
              <w:pStyle w:val="textarea"/>
            </w:pPr>
          </w:p>
          <w:p w:rsidR="007C0C25" w:rsidRPr="00023BB2" w:rsidRDefault="007C0C25" w:rsidP="007E39B5">
            <w:pPr>
              <w:pStyle w:val="textarea"/>
            </w:pPr>
            <w:r w:rsidRPr="00023BB2">
              <w:t>Б. С конкурсен изпит по руски език:</w:t>
            </w:r>
          </w:p>
          <w:p w:rsidR="007C0C25" w:rsidRPr="00023BB2" w:rsidRDefault="007C0C25" w:rsidP="007E39B5">
            <w:pPr>
              <w:pStyle w:val="textarea"/>
            </w:pPr>
            <w:r w:rsidRPr="00023BB2">
              <w:t>ТЕСТ за ниво В 2 – за бакалаври или магистри, завършили филологически специалности.</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lastRenderedPageBreak/>
              <w:t>Ред за признаване на предходно обучение</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 xml:space="preserve">Координатор: ст. експерт Радка Чобанова, Катедра по руска филология, кабинет 1, тел.: 032/261-451; Е-mail: </w:t>
            </w:r>
            <w:hyperlink r:id="rId8" w:history="1">
              <w:r w:rsidRPr="00023BB2">
                <w:rPr>
                  <w:rStyle w:val="a8"/>
                  <w:rFonts w:ascii="Calibri" w:hAnsi="Calibri"/>
                  <w:color w:val="auto"/>
                </w:rPr>
                <w:t>rada.chobanova@gmail.com</w:t>
              </w:r>
            </w:hyperlink>
          </w:p>
        </w:tc>
      </w:tr>
      <w:tr w:rsidR="007C0C25" w:rsidRPr="00023BB2" w:rsidTr="007C0C25">
        <w:trPr>
          <w:trHeight w:val="255"/>
          <w:jc w:val="center"/>
        </w:trPr>
        <w:tc>
          <w:tcPr>
            <w:tcW w:w="9203" w:type="dxa"/>
            <w:shd w:val="clear" w:color="000000" w:fill="EBF1DE"/>
            <w:noWrap/>
            <w:vAlign w:val="center"/>
          </w:tcPr>
          <w:p w:rsidR="007C0C25" w:rsidRPr="00023BB2" w:rsidRDefault="007C0C25" w:rsidP="000A5B56">
            <w:pPr>
              <w:pStyle w:val="textarea"/>
            </w:pPr>
            <w:r w:rsidRPr="00023BB2">
              <w:t xml:space="preserve">Предходното обучение (за завършилите бакалавърска или магистърска степен, както и за притежаващите сертификат за владене на руски език)  може да предостави възможност на кандидатите за достъп до програмата при класиране по документи или да осигури успешно полагане на конкурсен изпит за покриване на езиково ниво В 2. </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0A5B56">
            <w:pPr>
              <w:pStyle w:val="textarea"/>
            </w:pPr>
            <w:r w:rsidRPr="00023BB2">
              <w:t>Ситуации за признаване на кредити на база представени документи от друго ВУ се разрешават конкретно и след съпоставка с предвидените в учебния план дисциплини, техните хорариуми и кредитни рамки.</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3F7641">
            <w:pPr>
              <w:pStyle w:val="textarea"/>
            </w:pPr>
            <w:r w:rsidRPr="00023BB2">
              <w:t>Международни дипломи (сертификати) могат да бъдат основание за признаване на кредити след приравняването им и при съответствие със зададения комплекс от параметри в учебния план.</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F91A79">
            <w:pPr>
              <w:pStyle w:val="textarea"/>
            </w:pPr>
            <w:r w:rsidRPr="00023BB2">
              <w:t xml:space="preserve">Адекватни за учебния план кредити по специалността могат да бъдат присъдени при покриване на всички конкретни за формата на дадена дисциплина изисквания и само по реда на зададените от програмата параметри. </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Квалификационни изисквания и правила за квалификация</w:t>
            </w:r>
          </w:p>
        </w:tc>
      </w:tr>
      <w:tr w:rsidR="007C0C25" w:rsidRPr="00023BB2" w:rsidTr="007C0C25">
        <w:trPr>
          <w:trHeight w:val="255"/>
          <w:jc w:val="center"/>
        </w:trPr>
        <w:tc>
          <w:tcPr>
            <w:tcW w:w="9203" w:type="dxa"/>
            <w:shd w:val="clear" w:color="000000" w:fill="EBF1DE"/>
            <w:noWrap/>
            <w:vAlign w:val="center"/>
          </w:tcPr>
          <w:p w:rsidR="007C0C25" w:rsidRDefault="007C0C25" w:rsidP="00364C80">
            <w:pPr>
              <w:pStyle w:val="textarea"/>
            </w:pPr>
            <w:r w:rsidRPr="00023BB2">
              <w:t xml:space="preserve">За придобиване на квалификацията са необходими общо </w:t>
            </w:r>
            <w:r>
              <w:t>60</w:t>
            </w:r>
            <w:r w:rsidRPr="00023BB2">
              <w:t xml:space="preserve"> кредита</w:t>
            </w:r>
            <w:r>
              <w:t>. От тях:</w:t>
            </w:r>
          </w:p>
          <w:p w:rsidR="007C0C25" w:rsidRDefault="007C0C25" w:rsidP="00364C80">
            <w:pPr>
              <w:pStyle w:val="textarea"/>
            </w:pPr>
            <w:r>
              <w:t xml:space="preserve"> За </w:t>
            </w:r>
            <w:r w:rsidRPr="00023BB2">
              <w:t>задължителни дисциплини</w:t>
            </w:r>
            <w:r>
              <w:t xml:space="preserve"> - 42</w:t>
            </w:r>
            <w:r w:rsidRPr="00023BB2">
              <w:t xml:space="preserve"> </w:t>
            </w:r>
            <w:r>
              <w:t>(езиковедски профил) и 39 (литературоведски профил);</w:t>
            </w:r>
          </w:p>
          <w:p w:rsidR="007C0C25" w:rsidRDefault="007C0C25" w:rsidP="00364C80">
            <w:pPr>
              <w:pStyle w:val="textarea"/>
            </w:pPr>
            <w:r>
              <w:t xml:space="preserve">За </w:t>
            </w:r>
            <w:r w:rsidRPr="00023BB2">
              <w:t>избираеми дисциплини</w:t>
            </w:r>
            <w:r>
              <w:t xml:space="preserve"> -</w:t>
            </w:r>
            <w:r w:rsidRPr="00023BB2">
              <w:t xml:space="preserve"> </w:t>
            </w:r>
            <w:r>
              <w:t>6</w:t>
            </w:r>
            <w:r w:rsidRPr="00023BB2">
              <w:t xml:space="preserve"> </w:t>
            </w:r>
            <w:r>
              <w:t>(езиковедски профил) и 9 (литературоведски профил);</w:t>
            </w:r>
          </w:p>
          <w:p w:rsidR="007C0C25" w:rsidRPr="00023BB2" w:rsidRDefault="007C0C25" w:rsidP="00364C80">
            <w:pPr>
              <w:pStyle w:val="textarea"/>
            </w:pPr>
            <w:r>
              <w:t>За</w:t>
            </w:r>
            <w:r w:rsidRPr="00023BB2">
              <w:t xml:space="preserve"> държавен изпит</w:t>
            </w:r>
            <w:r>
              <w:t xml:space="preserve"> – 12 (за двата профила)</w:t>
            </w:r>
            <w:r w:rsidRPr="00023BB2">
              <w:t>.</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Профил на програмата (специалността)</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C96E20">
            <w:pPr>
              <w:pStyle w:val="textarea"/>
            </w:pPr>
            <w:r w:rsidRPr="00023BB2">
              <w:t xml:space="preserve">Основните тематични направления за покриване на общия профил включват (в рамките на </w:t>
            </w:r>
            <w:r>
              <w:t>21</w:t>
            </w:r>
            <w:r w:rsidRPr="00023BB2">
              <w:t xml:space="preserve"> кредита за </w:t>
            </w:r>
            <w:r>
              <w:t>двата</w:t>
            </w:r>
            <w:r w:rsidRPr="00023BB2">
              <w:t xml:space="preserve"> учебни семестъра) придобиване на фундаментални познания в областта на актуалните проблеми на съвременното руско езикознание, поетиката и херменевтиката, лингвистиката на текста, методиката на научното изследване, практическия руски език.</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 xml:space="preserve">Обучението през специализиращия модул (езиковедски или литературоведски) (в рамките на </w:t>
            </w:r>
            <w:r>
              <w:t>27</w:t>
            </w:r>
            <w:r w:rsidRPr="00023BB2">
              <w:t xml:space="preserve"> кредита през първия и втория учебен семестър) включва както следва:</w:t>
            </w:r>
          </w:p>
          <w:p w:rsidR="007C0C25" w:rsidRPr="00023BB2" w:rsidRDefault="007C0C25" w:rsidP="007E39B5">
            <w:pPr>
              <w:pStyle w:val="textarea"/>
            </w:pPr>
            <w:r w:rsidRPr="00023BB2">
              <w:rPr>
                <w:u w:val="single"/>
              </w:rPr>
              <w:t>Езиковедски профил</w:t>
            </w:r>
            <w:r w:rsidRPr="00023BB2">
              <w:t xml:space="preserve"> – Прагматика и граматика, Съпоставителна руско-българска граматика (лексикология, морфология, синтаксис), </w:t>
            </w:r>
            <w:r w:rsidRPr="00C96E20">
              <w:t>Иновационни процеси</w:t>
            </w:r>
            <w:r>
              <w:t xml:space="preserve"> в съвременния руски език,</w:t>
            </w:r>
            <w:r w:rsidRPr="00C96E20">
              <w:t xml:space="preserve"> </w:t>
            </w:r>
            <w:r>
              <w:t xml:space="preserve">Лингвистика на текста, </w:t>
            </w:r>
            <w:r w:rsidRPr="00023BB2">
              <w:t>Език и междукултурна комуникация</w:t>
            </w:r>
            <w:r>
              <w:t>;</w:t>
            </w:r>
            <w:r w:rsidRPr="00023BB2">
              <w:t xml:space="preserve"> </w:t>
            </w:r>
            <w:r>
              <w:t>2</w:t>
            </w:r>
            <w:r w:rsidRPr="00023BB2">
              <w:t xml:space="preserve"> избираеми дисциплини (</w:t>
            </w:r>
            <w:r w:rsidRPr="00023BB2">
              <w:rPr>
                <w:u w:val="single"/>
              </w:rPr>
              <w:t>предложени:</w:t>
            </w:r>
            <w:r w:rsidRPr="00023BB2">
              <w:t xml:space="preserve"> </w:t>
            </w:r>
            <w:r w:rsidRPr="00C96E20">
              <w:rPr>
                <w:i/>
              </w:rPr>
              <w:t>Проблеми на сравнително-историческото езикознание,</w:t>
            </w:r>
            <w:r w:rsidRPr="00023BB2">
              <w:t xml:space="preserve"> </w:t>
            </w:r>
            <w:r w:rsidRPr="00023BB2">
              <w:rPr>
                <w:i/>
              </w:rPr>
              <w:t xml:space="preserve">Картината на света във фразеологията; </w:t>
            </w:r>
            <w:r w:rsidRPr="00C96E20">
              <w:rPr>
                <w:i/>
              </w:rPr>
              <w:t>Увод в когнитивната лингвистика</w:t>
            </w:r>
            <w:r>
              <w:rPr>
                <w:i/>
              </w:rPr>
              <w:t>,</w:t>
            </w:r>
            <w:r w:rsidRPr="00023BB2">
              <w:t xml:space="preserve"> </w:t>
            </w:r>
            <w:r w:rsidRPr="00C96E20">
              <w:rPr>
                <w:i/>
              </w:rPr>
              <w:t>Русия в световната цивилизация</w:t>
            </w:r>
            <w:r w:rsidRPr="00023BB2">
              <w:t>).</w:t>
            </w:r>
          </w:p>
          <w:p w:rsidR="007C0C25" w:rsidRPr="00023BB2" w:rsidRDefault="007C0C25" w:rsidP="007E39B5">
            <w:pPr>
              <w:pStyle w:val="textarea"/>
            </w:pPr>
            <w:r w:rsidRPr="00023BB2">
              <w:rPr>
                <w:u w:val="single"/>
              </w:rPr>
              <w:t>Литературоведски профил</w:t>
            </w:r>
            <w:r w:rsidRPr="00023BB2">
              <w:t xml:space="preserve"> – Литературна комуникация, Проблеми на светостта в средновековната литература и фолклора, Типол</w:t>
            </w:r>
            <w:r>
              <w:t>огия на руския роман на 19 в., Руски литературен месианизъм;</w:t>
            </w:r>
            <w:r w:rsidRPr="00023BB2">
              <w:t xml:space="preserve"> </w:t>
            </w:r>
            <w:r>
              <w:t>2</w:t>
            </w:r>
            <w:r w:rsidRPr="00023BB2">
              <w:t xml:space="preserve"> избираеми дисциплини </w:t>
            </w:r>
            <w:r w:rsidRPr="00023BB2">
              <w:lastRenderedPageBreak/>
              <w:t>(</w:t>
            </w:r>
            <w:r w:rsidRPr="00023BB2">
              <w:rPr>
                <w:u w:val="single"/>
              </w:rPr>
              <w:t>предложени:</w:t>
            </w:r>
            <w:r w:rsidRPr="00023BB2">
              <w:rPr>
                <w:i/>
              </w:rPr>
              <w:t xml:space="preserve"> Проблеми на поетиката и херменевтиката в творчеството на Ф.М. Достоевски; Преводна рецепция на руската </w:t>
            </w:r>
            <w:r>
              <w:rPr>
                <w:i/>
              </w:rPr>
              <w:t>литература от 19 в. в България; Християнство и езичество – текст и ритуал;</w:t>
            </w:r>
            <w:r w:rsidRPr="00023BB2">
              <w:rPr>
                <w:i/>
              </w:rPr>
              <w:t xml:space="preserve"> Женският почерк в съвременната руска проза</w:t>
            </w:r>
            <w:r w:rsidRPr="00023BB2">
              <w:t>).</w:t>
            </w:r>
          </w:p>
          <w:p w:rsidR="007C0C25" w:rsidRPr="00023BB2" w:rsidRDefault="007C0C25" w:rsidP="007E39B5">
            <w:pPr>
              <w:pStyle w:val="textarea"/>
            </w:pPr>
            <w:r w:rsidRPr="00023BB2">
              <w:t xml:space="preserve"> </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4E0B36">
            <w:pPr>
              <w:pStyle w:val="textarea"/>
            </w:pPr>
            <w:r w:rsidRPr="00023BB2">
              <w:lastRenderedPageBreak/>
              <w:t>Включените в учебния план дисциплини подготвят квалифицирани специалисти в областта на актуалната лингвистика и литературознанието с приложение в теоретичното и практическото изучаване и преподаване на руски език, в работата на търговски и бизнес-организации, културни, дипломатически и други обществени институции.</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F91A79">
            <w:pPr>
              <w:pStyle w:val="textarea"/>
            </w:pPr>
            <w:r w:rsidRPr="00023BB2">
              <w:t>При обучението на студентите основните тематични области са българското, руското и съпоставителното езикознание и литературознание, преводът, междуезиковата комуникация и културологията.</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Основни резултати от обучението</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2F5B92">
            <w:pPr>
              <w:pStyle w:val="textarea"/>
            </w:pPr>
            <w:r w:rsidRPr="00023BB2">
              <w:t xml:space="preserve">Философията на програмата „Актуална русистика” предвижда паралелно  (едновременно) обучаване на студентите от двата предлагани профила – езиковедски и литературоведски. </w:t>
            </w:r>
          </w:p>
          <w:p w:rsidR="007C0C25" w:rsidRPr="00023BB2" w:rsidRDefault="007C0C25" w:rsidP="002F5B92">
            <w:pPr>
              <w:pStyle w:val="textarea"/>
            </w:pPr>
            <w:r w:rsidRPr="00023BB2">
              <w:t xml:space="preserve">Това определя стратегията на програмата, основана на поетапното им обединяване и разделяне (с профилиране). </w:t>
            </w:r>
          </w:p>
          <w:p w:rsidR="007C0C25" w:rsidRPr="00023BB2" w:rsidRDefault="007C0C25" w:rsidP="00240B6D">
            <w:pPr>
              <w:pStyle w:val="textarea"/>
            </w:pPr>
            <w:r w:rsidRPr="00023BB2">
              <w:t xml:space="preserve">В </w:t>
            </w:r>
            <w:r>
              <w:t>двата</w:t>
            </w:r>
            <w:r w:rsidRPr="00023BB2">
              <w:t xml:space="preserve"> учебни семест</w:t>
            </w:r>
            <w:r>
              <w:t>ъ</w:t>
            </w:r>
            <w:r w:rsidRPr="00023BB2">
              <w:t>р</w:t>
            </w:r>
            <w:r>
              <w:t>а</w:t>
            </w:r>
            <w:r w:rsidRPr="00023BB2">
              <w:t xml:space="preserve"> са включени о</w:t>
            </w:r>
            <w:r>
              <w:t>бщи филологически дисциплини и дисциплини с</w:t>
            </w:r>
            <w:r w:rsidRPr="00023BB2">
              <w:t xml:space="preserve"> практически и методически характер. </w:t>
            </w:r>
            <w:r>
              <w:t>О</w:t>
            </w:r>
            <w:r w:rsidRPr="00023BB2">
              <w:t>сновн</w:t>
            </w:r>
            <w:r>
              <w:t>ият</w:t>
            </w:r>
            <w:r w:rsidRPr="00023BB2">
              <w:t xml:space="preserve"> (базисен) комплекс гарантира общофилологическата квалификация на студентите.</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Дисциплините от базисния комплекс имат за цел да осигурят знания и разбиране на общата материя на ниво, отговарящо на общите цели на магистърската програма.</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F91A79">
            <w:pPr>
              <w:pStyle w:val="textarea"/>
            </w:pPr>
            <w:r w:rsidRPr="00023BB2">
              <w:t> Студентите получават възможност да организират и надградят придобити в предходни етапи знания, както и да ги прилагат в постъпателен ред в хода на по-нататъшното си обучение.</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F91A79">
            <w:pPr>
              <w:pStyle w:val="textarea"/>
            </w:pPr>
            <w:r w:rsidRPr="00023BB2">
              <w:t xml:space="preserve"> Студентите натрупват обща компетентност, нужна при обсъждане на конкретно дефинирани специфични или проблемни въпроси. </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F91A79">
            <w:pPr>
              <w:pStyle w:val="textarea"/>
            </w:pPr>
            <w:r w:rsidRPr="00023BB2">
              <w:t>Формираната общофилологическа компетентност е основа за успешна комуникация (с преподавателите, осигуряващи обучението в магистърската програма, и в самия учебен колектив като академична единица).</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3326AC">
            <w:pPr>
              <w:pStyle w:val="textarea"/>
            </w:pPr>
            <w:r w:rsidRPr="00023BB2">
              <w:t xml:space="preserve">Студентите изработват способности да работят с полза за себе си и самостоятелно. </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3326AC">
            <w:pPr>
              <w:pStyle w:val="textarea"/>
            </w:pPr>
            <w:r w:rsidRPr="00023BB2">
              <w:t>Целият комплекс основни дисциплини изгражда по-високо ниво на обща професионална подготовка и улеснява осъзнатото следване на конкретния избор на профилиране.</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2607C7">
            <w:pPr>
              <w:pStyle w:val="textarea"/>
            </w:pPr>
            <w:r w:rsidRPr="00023BB2">
              <w:t>Разделното обучение на студентите, предпочели езиковедски или литературоведски профил, следва реалното разпределение на специализираните дисциплини (задължителни и избираеми) в два строго разграничени програмни блока, съответно, лингвистичен и литературен. Студентите получават конкретни знания (диахронни и синхронни, както и в съпоставителен план) от областта, съответстваща на избраното от тях направление.</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3326AC">
            <w:pPr>
              <w:pStyle w:val="textarea"/>
            </w:pPr>
            <w:r w:rsidRPr="00023BB2">
              <w:lastRenderedPageBreak/>
              <w:t xml:space="preserve">За успешно овладели профилиращото ниво се смятат студенти, които могат да прилагат придобитите знания и умения по начин, показващ професионален подход в реална или бъдеща преподавателска работа; които притежават умението да събират и обработват  теоретични и практически данни при научна работа в изучаваната област; които са формирали възгледи, позволяващи успешната им реализация в културни, търговски и други обществени сфери. </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8E6AB3">
            <w:pPr>
              <w:pStyle w:val="textarea"/>
            </w:pPr>
            <w:r w:rsidRPr="00023BB2">
              <w:t xml:space="preserve">Завършилите пълния курс на обучение по предполагане, заложено в стратегията на авторите на програмата, могат компетентно да комуникират на всички нива, да обменят професионална информация, да обсъждат и оценяват реалности и проблеми, да обсъждат и предлагат решения и идеи; имат принципната нагласа да доизграждат себе си професионално и качествата да работят в широк кръг обществени области.   </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Професионален профил на завършилите с примери</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Програмата „Актуална русистика” подготвя специалисти с високо ниво на филологическа компетентност в едно от двете предпочетени направления – езиковедско и литературно. Наред с теоретичната, обучаваните придобиват и необходимата практическа подготовка, допълваща комплекса компетенции, отговарящи на общия профил на специалността.</w:t>
            </w:r>
          </w:p>
          <w:p w:rsidR="007C0C25" w:rsidRPr="00023BB2" w:rsidRDefault="007C0C25" w:rsidP="007E39B5">
            <w:pPr>
              <w:pStyle w:val="textarea"/>
            </w:pPr>
            <w:r w:rsidRPr="00023BB2">
              <w:t xml:space="preserve">Завършилите получават квалификация „магистър по </w:t>
            </w:r>
            <w:r>
              <w:t xml:space="preserve">руска </w:t>
            </w:r>
            <w:r w:rsidRPr="00023BB2">
              <w:t>филология” и могат да намерят реализация като научни работници, преподаватели, редактори, журналисти, администратори и др. в различни области на научния, културния и обществения живот.</w:t>
            </w:r>
          </w:p>
          <w:p w:rsidR="007C0C25" w:rsidRPr="00023BB2" w:rsidRDefault="007C0C25" w:rsidP="007E39B5">
            <w:pPr>
              <w:pStyle w:val="textarea"/>
            </w:pP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Възможности за продължаване на обучението</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8E6AB3">
            <w:pPr>
              <w:pStyle w:val="textarea"/>
            </w:pPr>
            <w:r w:rsidRPr="00023BB2">
              <w:t>Завършилите имат възможности за продължаване на обучението си в други магистърски програми към професионално направление 2.1. Филология</w:t>
            </w:r>
            <w:r w:rsidRPr="00023BB2">
              <w:rPr>
                <w:lang w:val="en-US"/>
              </w:rPr>
              <w:t xml:space="preserve"> или   с докторантура.</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Правила за изпитите, оценяване и поставяне на оценки:</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В хода на обучението и/или в края на учебните дисциплини са предвидени текущи, обучаващи, контролни (писмени и устни) тестове, курсови работи, курсови проекти и изпити (теоретични и практически). Формата и спецификата им е посочена в съответните учебни програми.</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Изисквания за завършване:</w:t>
            </w:r>
          </w:p>
        </w:tc>
      </w:tr>
      <w:tr w:rsidR="007C0C25" w:rsidRPr="00023BB2" w:rsidTr="007C0C25">
        <w:trPr>
          <w:trHeight w:val="285"/>
          <w:jc w:val="center"/>
        </w:trPr>
        <w:tc>
          <w:tcPr>
            <w:tcW w:w="9203" w:type="dxa"/>
            <w:shd w:val="clear" w:color="000000" w:fill="FDE9D9"/>
            <w:noWrap/>
            <w:vAlign w:val="center"/>
          </w:tcPr>
          <w:p w:rsidR="007C0C25" w:rsidRPr="00023BB2" w:rsidRDefault="007C0C25" w:rsidP="007E39B5">
            <w:pPr>
              <w:pStyle w:val="textarea"/>
            </w:pPr>
            <w:r w:rsidRPr="00023BB2">
              <w:t>За допускане до държавен изпит е необходимо покриване на всички конкретни изисквания, посочени в програмите на дисциплините (задължителни и избираеми), съставящи общия и професионалните блокове за двете предлагани направления на програмата.</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123504">
            <w:pPr>
              <w:spacing w:before="100" w:beforeAutospacing="1" w:after="100" w:afterAutospacing="1"/>
            </w:pPr>
          </w:p>
          <w:p w:rsidR="007C0C25" w:rsidRPr="00023BB2" w:rsidRDefault="007C0C25" w:rsidP="007E39B5">
            <w:pPr>
              <w:pStyle w:val="textarea"/>
            </w:pPr>
            <w:r w:rsidRPr="00023BB2">
              <w:t>Форма на завършване на програмата:</w:t>
            </w:r>
          </w:p>
          <w:p w:rsidR="007C0C25" w:rsidRPr="00023BB2" w:rsidRDefault="007C0C25" w:rsidP="007E39B5">
            <w:pPr>
              <w:pStyle w:val="textarea"/>
            </w:pPr>
            <w:r w:rsidRPr="00023BB2">
              <w:t>Разработка и защита на дипломна магистърска теза.</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rPr>
                <w:rFonts w:cs="Calibri"/>
                <w:szCs w:val="28"/>
              </w:rPr>
            </w:pPr>
            <w:r w:rsidRPr="00023BB2">
              <w:t>Форми на обучение</w:t>
            </w:r>
          </w:p>
        </w:tc>
      </w:tr>
      <w:tr w:rsidR="007C0C25" w:rsidRPr="00023BB2" w:rsidTr="007C0C25">
        <w:trPr>
          <w:trHeight w:val="285"/>
          <w:jc w:val="center"/>
        </w:trPr>
        <w:tc>
          <w:tcPr>
            <w:tcW w:w="9203" w:type="dxa"/>
            <w:shd w:val="clear" w:color="000000" w:fill="FDE9D9"/>
            <w:noWrap/>
            <w:vAlign w:val="center"/>
          </w:tcPr>
          <w:p w:rsidR="007C0C25" w:rsidRPr="00023BB2" w:rsidRDefault="007C0C25" w:rsidP="000913D4">
            <w:pPr>
              <w:pStyle w:val="ListParagraph"/>
              <w:numPr>
                <w:ilvl w:val="0"/>
                <w:numId w:val="0"/>
              </w:numPr>
              <w:ind w:left="720"/>
              <w:rPr>
                <w:sz w:val="20"/>
                <w:szCs w:val="20"/>
                <w:lang w:eastAsia="bg-BG"/>
              </w:rPr>
            </w:pPr>
          </w:p>
        </w:tc>
      </w:tr>
      <w:tr w:rsidR="007C0C25" w:rsidRPr="00023BB2" w:rsidTr="007C0C25">
        <w:trPr>
          <w:trHeight w:val="255"/>
          <w:jc w:val="center"/>
        </w:trPr>
        <w:tc>
          <w:tcPr>
            <w:tcW w:w="9203" w:type="dxa"/>
            <w:shd w:val="clear" w:color="000000" w:fill="EBF1DE"/>
            <w:noWrap/>
            <w:vAlign w:val="center"/>
          </w:tcPr>
          <w:p w:rsidR="007C0C25" w:rsidRPr="00023BB2" w:rsidRDefault="007C0C25" w:rsidP="00615E70">
            <w:pPr>
              <w:pStyle w:val="textarea"/>
            </w:pPr>
            <w:r w:rsidRPr="00023BB2">
              <w:lastRenderedPageBreak/>
              <w:t> Редовна форма на обучение.</w:t>
            </w:r>
          </w:p>
        </w:tc>
      </w:tr>
      <w:tr w:rsidR="007C0C25" w:rsidRPr="00023BB2" w:rsidTr="007C0C25">
        <w:trPr>
          <w:trHeight w:val="360"/>
          <w:jc w:val="center"/>
        </w:trPr>
        <w:tc>
          <w:tcPr>
            <w:tcW w:w="9203" w:type="dxa"/>
            <w:shd w:val="clear" w:color="auto" w:fill="auto"/>
            <w:noWrap/>
            <w:vAlign w:val="center"/>
          </w:tcPr>
          <w:p w:rsidR="007C0C25" w:rsidRPr="00023BB2" w:rsidRDefault="007C0C25" w:rsidP="00B53D76">
            <w:pPr>
              <w:pStyle w:val="a3"/>
            </w:pPr>
            <w:r w:rsidRPr="00023BB2">
              <w:t xml:space="preserve">Ръководител на програмата: </w:t>
            </w:r>
          </w:p>
          <w:p w:rsidR="007C0C25" w:rsidRPr="00023BB2" w:rsidRDefault="007C0C25" w:rsidP="008E6AB3">
            <w:pPr>
              <w:pStyle w:val="a3"/>
            </w:pPr>
            <w:r w:rsidRPr="00023BB2">
              <w:t>проф. д-р Стефка Иванова Георгиева</w:t>
            </w:r>
            <w:r w:rsidRPr="00023BB2">
              <w:rPr>
                <w:lang w:val="ru-RU"/>
              </w:rPr>
              <w:t xml:space="preserve"> </w:t>
            </w:r>
          </w:p>
          <w:p w:rsidR="007C0C25" w:rsidRPr="00023BB2" w:rsidRDefault="007C0C25" w:rsidP="008E6AB3">
            <w:pPr>
              <w:pStyle w:val="a3"/>
              <w:rPr>
                <w:sz w:val="24"/>
                <w:szCs w:val="24"/>
              </w:rPr>
            </w:pPr>
            <w:r w:rsidRPr="00023BB2">
              <w:t>к</w:t>
            </w:r>
            <w:r w:rsidRPr="00023BB2">
              <w:rPr>
                <w:sz w:val="24"/>
                <w:szCs w:val="24"/>
              </w:rPr>
              <w:t xml:space="preserve">оординати: Катедра по руска филология, кабинет 5; тел. 032/261 450, </w:t>
            </w:r>
          </w:p>
          <w:p w:rsidR="007C0C25" w:rsidRPr="00023BB2" w:rsidRDefault="007C0C25" w:rsidP="008E6AB3">
            <w:pPr>
              <w:pStyle w:val="a3"/>
              <w:rPr>
                <w:sz w:val="24"/>
                <w:szCs w:val="24"/>
                <w:lang w:val="en-US"/>
              </w:rPr>
            </w:pPr>
            <w:proofErr w:type="gramStart"/>
            <w:r w:rsidRPr="00023BB2">
              <w:rPr>
                <w:sz w:val="24"/>
                <w:szCs w:val="24"/>
                <w:lang w:val="en-US"/>
              </w:rPr>
              <w:t>e-mail</w:t>
            </w:r>
            <w:proofErr w:type="gramEnd"/>
            <w:r w:rsidRPr="00023BB2">
              <w:rPr>
                <w:sz w:val="24"/>
                <w:szCs w:val="24"/>
              </w:rPr>
              <w:t>:</w:t>
            </w:r>
            <w:r w:rsidRPr="00023BB2">
              <w:rPr>
                <w:sz w:val="24"/>
                <w:szCs w:val="24"/>
                <w:lang w:val="en-US"/>
              </w:rPr>
              <w:t xml:space="preserve"> </w:t>
            </w:r>
            <w:hyperlink r:id="rId9" w:history="1">
              <w:r w:rsidRPr="00023BB2">
                <w:rPr>
                  <w:rStyle w:val="a8"/>
                  <w:color w:val="auto"/>
                  <w:sz w:val="24"/>
                  <w:szCs w:val="24"/>
                  <w:lang w:val="en-US"/>
                </w:rPr>
                <w:t>stefka3@abv.bg</w:t>
              </w:r>
            </w:hyperlink>
          </w:p>
          <w:p w:rsidR="007C0C25" w:rsidRPr="00023BB2" w:rsidRDefault="007C0C25" w:rsidP="00B53D76">
            <w:pPr>
              <w:pStyle w:val="a3"/>
              <w:rPr>
                <w:rFonts w:cs="Calibri"/>
                <w:szCs w:val="28"/>
              </w:rPr>
            </w:pPr>
            <w:r w:rsidRPr="00023BB2">
              <w:t>Декан:</w:t>
            </w:r>
          </w:p>
        </w:tc>
      </w:tr>
      <w:tr w:rsidR="007C0C25" w:rsidRPr="00023BB2" w:rsidTr="007C0C25">
        <w:trPr>
          <w:trHeight w:val="255"/>
          <w:jc w:val="center"/>
        </w:trPr>
        <w:tc>
          <w:tcPr>
            <w:tcW w:w="9203" w:type="dxa"/>
            <w:shd w:val="clear" w:color="000000" w:fill="EBF1DE"/>
            <w:noWrap/>
            <w:vAlign w:val="center"/>
          </w:tcPr>
          <w:p w:rsidR="007C0C25" w:rsidRPr="00023BB2" w:rsidRDefault="007C0C25" w:rsidP="007E39B5">
            <w:pPr>
              <w:pStyle w:val="textarea"/>
            </w:pPr>
            <w:r w:rsidRPr="00023BB2">
              <w:t> </w:t>
            </w:r>
            <w:r>
              <w:t>До</w:t>
            </w:r>
            <w:r w:rsidRPr="00023BB2">
              <w:t>ц. д-р  Живко Иванов</w:t>
            </w:r>
          </w:p>
        </w:tc>
      </w:tr>
    </w:tbl>
    <w:p w:rsidR="00657757" w:rsidRDefault="00657757" w:rsidP="00657757">
      <w:bookmarkStart w:id="0" w:name="_GoBack"/>
      <w:bookmarkEnd w:id="0"/>
    </w:p>
    <w:p w:rsidR="00F87AE8" w:rsidRPr="00657757" w:rsidRDefault="00F87AE8"/>
    <w:sectPr w:rsidR="00F87AE8" w:rsidRPr="00657757" w:rsidSect="006356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83" w:rsidRDefault="00151E83" w:rsidP="00657757">
      <w:r>
        <w:separator/>
      </w:r>
    </w:p>
  </w:endnote>
  <w:endnote w:type="continuationSeparator" w:id="0">
    <w:p w:rsidR="00151E83" w:rsidRDefault="00151E83" w:rsidP="0065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83" w:rsidRDefault="00151E83" w:rsidP="00657757">
      <w:r>
        <w:separator/>
      </w:r>
    </w:p>
  </w:footnote>
  <w:footnote w:type="continuationSeparator" w:id="0">
    <w:p w:rsidR="00151E83" w:rsidRDefault="00151E83" w:rsidP="00657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35CB"/>
    <w:multiLevelType w:val="hybridMultilevel"/>
    <w:tmpl w:val="A0B4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95372"/>
    <w:multiLevelType w:val="hybridMultilevel"/>
    <w:tmpl w:val="AB44E69E"/>
    <w:lvl w:ilvl="0" w:tplc="D174DF04">
      <w:start w:val="1"/>
      <w:numFmt w:val="bullet"/>
      <w:pStyle w:val="ListParagraph"/>
      <w:lvlText w:val="-"/>
      <w:lvlJc w:val="left"/>
      <w:pPr>
        <w:ind w:left="720" w:hanging="360"/>
      </w:pPr>
      <w:rPr>
        <w:rFonts w:ascii="Calibri" w:eastAsia="Calibri" w:hAnsi="Calibri" w:cs="Calibri" w:hint="default"/>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6805B05"/>
    <w:multiLevelType w:val="hybridMultilevel"/>
    <w:tmpl w:val="7D70D446"/>
    <w:lvl w:ilvl="0" w:tplc="F82E9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4A51B0"/>
    <w:multiLevelType w:val="hybridMultilevel"/>
    <w:tmpl w:val="8420385C"/>
    <w:lvl w:ilvl="0" w:tplc="9CB68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5B40C8"/>
    <w:multiLevelType w:val="hybridMultilevel"/>
    <w:tmpl w:val="7B7CE7B6"/>
    <w:lvl w:ilvl="0" w:tplc="54D62082">
      <w:start w:val="1"/>
      <w:numFmt w:val="bullet"/>
      <w:lvlText w:val="-"/>
      <w:lvlJc w:val="left"/>
      <w:pPr>
        <w:ind w:left="720" w:hanging="360"/>
      </w:pPr>
      <w:rPr>
        <w:rFonts w:ascii="Calibri" w:eastAsia="Calibri" w:hAnsi="Calibri" w:cs="Calibri" w:hint="default"/>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1050A08"/>
    <w:multiLevelType w:val="hybridMultilevel"/>
    <w:tmpl w:val="FD22CD5C"/>
    <w:lvl w:ilvl="0" w:tplc="A0E02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57"/>
    <w:rsid w:val="00023BB2"/>
    <w:rsid w:val="000439DD"/>
    <w:rsid w:val="000579AD"/>
    <w:rsid w:val="000913D4"/>
    <w:rsid w:val="000A5739"/>
    <w:rsid w:val="000A5B56"/>
    <w:rsid w:val="000D6025"/>
    <w:rsid w:val="000E441C"/>
    <w:rsid w:val="000F7B7B"/>
    <w:rsid w:val="00123504"/>
    <w:rsid w:val="00132DEF"/>
    <w:rsid w:val="00151E83"/>
    <w:rsid w:val="001709B9"/>
    <w:rsid w:val="001B74FD"/>
    <w:rsid w:val="001C75A0"/>
    <w:rsid w:val="001E07C4"/>
    <w:rsid w:val="001E60F0"/>
    <w:rsid w:val="001F46B4"/>
    <w:rsid w:val="002034D8"/>
    <w:rsid w:val="00211EE9"/>
    <w:rsid w:val="00236F9E"/>
    <w:rsid w:val="00240B6D"/>
    <w:rsid w:val="002607C7"/>
    <w:rsid w:val="00263D98"/>
    <w:rsid w:val="00293F92"/>
    <w:rsid w:val="0029749E"/>
    <w:rsid w:val="002A2015"/>
    <w:rsid w:val="002F5B92"/>
    <w:rsid w:val="003326AC"/>
    <w:rsid w:val="003636FE"/>
    <w:rsid w:val="00364C80"/>
    <w:rsid w:val="003660E6"/>
    <w:rsid w:val="003B260F"/>
    <w:rsid w:val="003D4E75"/>
    <w:rsid w:val="003F7641"/>
    <w:rsid w:val="004648E9"/>
    <w:rsid w:val="00491F22"/>
    <w:rsid w:val="004A6AFD"/>
    <w:rsid w:val="004C3B30"/>
    <w:rsid w:val="004E0B36"/>
    <w:rsid w:val="005276A6"/>
    <w:rsid w:val="005404F7"/>
    <w:rsid w:val="0056753C"/>
    <w:rsid w:val="005C057A"/>
    <w:rsid w:val="005D75F6"/>
    <w:rsid w:val="005F1B24"/>
    <w:rsid w:val="00615E70"/>
    <w:rsid w:val="00616E79"/>
    <w:rsid w:val="00635622"/>
    <w:rsid w:val="00644C39"/>
    <w:rsid w:val="00657757"/>
    <w:rsid w:val="007B490B"/>
    <w:rsid w:val="007C0C25"/>
    <w:rsid w:val="007D5394"/>
    <w:rsid w:val="007E39B5"/>
    <w:rsid w:val="00817FAA"/>
    <w:rsid w:val="00845613"/>
    <w:rsid w:val="008630D6"/>
    <w:rsid w:val="008731F6"/>
    <w:rsid w:val="008A1A99"/>
    <w:rsid w:val="008C691C"/>
    <w:rsid w:val="008D4DB3"/>
    <w:rsid w:val="008E6AB3"/>
    <w:rsid w:val="008F3498"/>
    <w:rsid w:val="008F58BF"/>
    <w:rsid w:val="00923223"/>
    <w:rsid w:val="009450EF"/>
    <w:rsid w:val="009E52CE"/>
    <w:rsid w:val="00A03199"/>
    <w:rsid w:val="00A203CA"/>
    <w:rsid w:val="00A572AE"/>
    <w:rsid w:val="00A621EC"/>
    <w:rsid w:val="00AE126B"/>
    <w:rsid w:val="00B15538"/>
    <w:rsid w:val="00B1776C"/>
    <w:rsid w:val="00B34E26"/>
    <w:rsid w:val="00B53D76"/>
    <w:rsid w:val="00BB7EEF"/>
    <w:rsid w:val="00BE5112"/>
    <w:rsid w:val="00C1670C"/>
    <w:rsid w:val="00C44ABA"/>
    <w:rsid w:val="00C71FB1"/>
    <w:rsid w:val="00C94CFA"/>
    <w:rsid w:val="00C96E20"/>
    <w:rsid w:val="00D102DC"/>
    <w:rsid w:val="00D13FC6"/>
    <w:rsid w:val="00D55FDE"/>
    <w:rsid w:val="00D56BE0"/>
    <w:rsid w:val="00D778EC"/>
    <w:rsid w:val="00DF2A43"/>
    <w:rsid w:val="00DF2D6D"/>
    <w:rsid w:val="00E2417E"/>
    <w:rsid w:val="00E40DF6"/>
    <w:rsid w:val="00E51DF5"/>
    <w:rsid w:val="00E832F3"/>
    <w:rsid w:val="00F20E1D"/>
    <w:rsid w:val="00F2653A"/>
    <w:rsid w:val="00F73FBB"/>
    <w:rsid w:val="00F874A2"/>
    <w:rsid w:val="00F87AE8"/>
    <w:rsid w:val="00F91A79"/>
    <w:rsid w:val="00FF3A40"/>
    <w:rsid w:val="00FF69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57"/>
    <w:rPr>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B53D76"/>
    <w:pPr>
      <w:spacing w:before="120"/>
      <w:contextualSpacing/>
    </w:pPr>
    <w:rPr>
      <w:rFonts w:ascii="Cambria" w:eastAsia="Times New Roman" w:hAnsi="Cambria"/>
      <w:b/>
      <w:color w:val="17365D"/>
      <w:spacing w:val="5"/>
      <w:kern w:val="28"/>
      <w:sz w:val="28"/>
      <w:szCs w:val="52"/>
      <w:lang w:eastAsia="bg-BG"/>
    </w:rPr>
  </w:style>
  <w:style w:type="character" w:customStyle="1" w:styleId="a4">
    <w:name w:val="Заглавие Знак"/>
    <w:basedOn w:val="a0"/>
    <w:link w:val="a3"/>
    <w:uiPriority w:val="10"/>
    <w:rsid w:val="00B53D76"/>
    <w:rPr>
      <w:rFonts w:ascii="Cambria" w:eastAsia="Times New Roman" w:hAnsi="Cambria" w:cs="Times New Roman"/>
      <w:b/>
      <w:color w:val="17365D"/>
      <w:spacing w:val="5"/>
      <w:kern w:val="28"/>
      <w:sz w:val="28"/>
      <w:szCs w:val="52"/>
      <w:lang w:val="bg-BG" w:eastAsia="bg-BG"/>
    </w:rPr>
  </w:style>
  <w:style w:type="paragraph" w:customStyle="1" w:styleId="ListParagraph">
    <w:name w:val="List Paragraph"/>
    <w:basedOn w:val="a"/>
    <w:autoRedefine/>
    <w:uiPriority w:val="34"/>
    <w:qFormat/>
    <w:rsid w:val="00657757"/>
    <w:pPr>
      <w:numPr>
        <w:numId w:val="2"/>
      </w:numPr>
      <w:contextualSpacing/>
      <w:jc w:val="both"/>
    </w:pPr>
  </w:style>
  <w:style w:type="character" w:styleId="a5">
    <w:name w:val="footnote reference"/>
    <w:basedOn w:val="a0"/>
    <w:uiPriority w:val="99"/>
    <w:semiHidden/>
    <w:unhideWhenUsed/>
    <w:rsid w:val="00657757"/>
    <w:rPr>
      <w:vertAlign w:val="superscript"/>
    </w:rPr>
  </w:style>
  <w:style w:type="paragraph" w:customStyle="1" w:styleId="textarea">
    <w:name w:val="textarea"/>
    <w:basedOn w:val="a"/>
    <w:autoRedefine/>
    <w:qFormat/>
    <w:rsid w:val="007E39B5"/>
    <w:pPr>
      <w:pBdr>
        <w:top w:val="single" w:sz="18" w:space="0" w:color="auto"/>
        <w:left w:val="single" w:sz="18" w:space="0" w:color="auto"/>
        <w:bottom w:val="single" w:sz="18" w:space="0" w:color="auto"/>
        <w:right w:val="single" w:sz="18" w:space="0" w:color="auto"/>
        <w:between w:val="dotted" w:sz="4" w:space="0" w:color="auto"/>
        <w:bar w:val="dotted" w:sz="4" w:color="auto"/>
      </w:pBdr>
      <w:jc w:val="both"/>
    </w:pPr>
    <w:rPr>
      <w:rFonts w:ascii="Cambria" w:hAnsi="Cambria"/>
      <w:b/>
      <w:sz w:val="24"/>
      <w:szCs w:val="24"/>
      <w:lang w:eastAsia="bg-BG"/>
    </w:rPr>
  </w:style>
  <w:style w:type="paragraph" w:styleId="a6">
    <w:name w:val="Balloon Text"/>
    <w:basedOn w:val="a"/>
    <w:link w:val="a7"/>
    <w:uiPriority w:val="99"/>
    <w:semiHidden/>
    <w:unhideWhenUsed/>
    <w:rsid w:val="00657757"/>
    <w:rPr>
      <w:rFonts w:ascii="Tahoma" w:hAnsi="Tahoma" w:cs="Tahoma"/>
      <w:sz w:val="16"/>
      <w:szCs w:val="16"/>
    </w:rPr>
  </w:style>
  <w:style w:type="character" w:customStyle="1" w:styleId="a7">
    <w:name w:val="Изнесен текст Знак"/>
    <w:basedOn w:val="a0"/>
    <w:link w:val="a6"/>
    <w:uiPriority w:val="99"/>
    <w:semiHidden/>
    <w:rsid w:val="00657757"/>
    <w:rPr>
      <w:rFonts w:ascii="Tahoma" w:hAnsi="Tahoma" w:cs="Tahoma"/>
      <w:sz w:val="16"/>
      <w:szCs w:val="16"/>
      <w:lang w:val="bg-BG"/>
    </w:rPr>
  </w:style>
  <w:style w:type="character" w:styleId="a8">
    <w:name w:val="Hyperlink"/>
    <w:basedOn w:val="a0"/>
    <w:rsid w:val="005404F7"/>
    <w:rPr>
      <w:color w:val="0000FF"/>
      <w:u w:val="single"/>
    </w:rPr>
  </w:style>
  <w:style w:type="character" w:customStyle="1" w:styleId="a9">
    <w:name w:val="Основен текст с отстъп Знак"/>
    <w:basedOn w:val="a0"/>
    <w:link w:val="aa"/>
    <w:locked/>
    <w:rsid w:val="005404F7"/>
    <w:rPr>
      <w:sz w:val="24"/>
      <w:szCs w:val="24"/>
    </w:rPr>
  </w:style>
  <w:style w:type="paragraph" w:styleId="aa">
    <w:name w:val="Body Text Indent"/>
    <w:basedOn w:val="a"/>
    <w:link w:val="a9"/>
    <w:rsid w:val="005404F7"/>
    <w:pPr>
      <w:spacing w:before="100" w:beforeAutospacing="1" w:after="100" w:afterAutospacing="1"/>
    </w:pPr>
    <w:rPr>
      <w:sz w:val="24"/>
      <w:szCs w:val="24"/>
      <w:lang w:val="en-US"/>
    </w:rPr>
  </w:style>
  <w:style w:type="character" w:customStyle="1" w:styleId="BodyTextIndentChar1">
    <w:name w:val="Body Text Indent Char1"/>
    <w:basedOn w:val="a0"/>
    <w:link w:val="aa"/>
    <w:uiPriority w:val="99"/>
    <w:semiHidden/>
    <w:rsid w:val="005404F7"/>
    <w:rPr>
      <w:sz w:val="18"/>
      <w:lang w:val="bg-BG"/>
    </w:rPr>
  </w:style>
  <w:style w:type="paragraph" w:customStyle="1" w:styleId="magister">
    <w:name w:val="magister"/>
    <w:basedOn w:val="a"/>
    <w:rsid w:val="005F1B24"/>
    <w:pPr>
      <w:ind w:firstLine="567"/>
      <w:contextualSpacing/>
      <w:jc w:val="both"/>
    </w:pPr>
    <w:rPr>
      <w:rFonts w:eastAsia="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57"/>
    <w:rPr>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B53D76"/>
    <w:pPr>
      <w:spacing w:before="120"/>
      <w:contextualSpacing/>
    </w:pPr>
    <w:rPr>
      <w:rFonts w:ascii="Cambria" w:eastAsia="Times New Roman" w:hAnsi="Cambria"/>
      <w:b/>
      <w:color w:val="17365D"/>
      <w:spacing w:val="5"/>
      <w:kern w:val="28"/>
      <w:sz w:val="28"/>
      <w:szCs w:val="52"/>
      <w:lang w:eastAsia="bg-BG"/>
    </w:rPr>
  </w:style>
  <w:style w:type="character" w:customStyle="1" w:styleId="a4">
    <w:name w:val="Заглавие Знак"/>
    <w:basedOn w:val="a0"/>
    <w:link w:val="a3"/>
    <w:uiPriority w:val="10"/>
    <w:rsid w:val="00B53D76"/>
    <w:rPr>
      <w:rFonts w:ascii="Cambria" w:eastAsia="Times New Roman" w:hAnsi="Cambria" w:cs="Times New Roman"/>
      <w:b/>
      <w:color w:val="17365D"/>
      <w:spacing w:val="5"/>
      <w:kern w:val="28"/>
      <w:sz w:val="28"/>
      <w:szCs w:val="52"/>
      <w:lang w:val="bg-BG" w:eastAsia="bg-BG"/>
    </w:rPr>
  </w:style>
  <w:style w:type="paragraph" w:customStyle="1" w:styleId="ListParagraph">
    <w:name w:val="List Paragraph"/>
    <w:basedOn w:val="a"/>
    <w:autoRedefine/>
    <w:uiPriority w:val="34"/>
    <w:qFormat/>
    <w:rsid w:val="00657757"/>
    <w:pPr>
      <w:numPr>
        <w:numId w:val="2"/>
      </w:numPr>
      <w:contextualSpacing/>
      <w:jc w:val="both"/>
    </w:pPr>
  </w:style>
  <w:style w:type="character" w:styleId="a5">
    <w:name w:val="footnote reference"/>
    <w:basedOn w:val="a0"/>
    <w:uiPriority w:val="99"/>
    <w:semiHidden/>
    <w:unhideWhenUsed/>
    <w:rsid w:val="00657757"/>
    <w:rPr>
      <w:vertAlign w:val="superscript"/>
    </w:rPr>
  </w:style>
  <w:style w:type="paragraph" w:customStyle="1" w:styleId="textarea">
    <w:name w:val="textarea"/>
    <w:basedOn w:val="a"/>
    <w:autoRedefine/>
    <w:qFormat/>
    <w:rsid w:val="007E39B5"/>
    <w:pPr>
      <w:pBdr>
        <w:top w:val="single" w:sz="18" w:space="0" w:color="auto"/>
        <w:left w:val="single" w:sz="18" w:space="0" w:color="auto"/>
        <w:bottom w:val="single" w:sz="18" w:space="0" w:color="auto"/>
        <w:right w:val="single" w:sz="18" w:space="0" w:color="auto"/>
        <w:between w:val="dotted" w:sz="4" w:space="0" w:color="auto"/>
        <w:bar w:val="dotted" w:sz="4" w:color="auto"/>
      </w:pBdr>
      <w:jc w:val="both"/>
    </w:pPr>
    <w:rPr>
      <w:rFonts w:ascii="Cambria" w:hAnsi="Cambria"/>
      <w:b/>
      <w:sz w:val="24"/>
      <w:szCs w:val="24"/>
      <w:lang w:eastAsia="bg-BG"/>
    </w:rPr>
  </w:style>
  <w:style w:type="paragraph" w:styleId="a6">
    <w:name w:val="Balloon Text"/>
    <w:basedOn w:val="a"/>
    <w:link w:val="a7"/>
    <w:uiPriority w:val="99"/>
    <w:semiHidden/>
    <w:unhideWhenUsed/>
    <w:rsid w:val="00657757"/>
    <w:rPr>
      <w:rFonts w:ascii="Tahoma" w:hAnsi="Tahoma" w:cs="Tahoma"/>
      <w:sz w:val="16"/>
      <w:szCs w:val="16"/>
    </w:rPr>
  </w:style>
  <w:style w:type="character" w:customStyle="1" w:styleId="a7">
    <w:name w:val="Изнесен текст Знак"/>
    <w:basedOn w:val="a0"/>
    <w:link w:val="a6"/>
    <w:uiPriority w:val="99"/>
    <w:semiHidden/>
    <w:rsid w:val="00657757"/>
    <w:rPr>
      <w:rFonts w:ascii="Tahoma" w:hAnsi="Tahoma" w:cs="Tahoma"/>
      <w:sz w:val="16"/>
      <w:szCs w:val="16"/>
      <w:lang w:val="bg-BG"/>
    </w:rPr>
  </w:style>
  <w:style w:type="character" w:styleId="a8">
    <w:name w:val="Hyperlink"/>
    <w:basedOn w:val="a0"/>
    <w:rsid w:val="005404F7"/>
    <w:rPr>
      <w:color w:val="0000FF"/>
      <w:u w:val="single"/>
    </w:rPr>
  </w:style>
  <w:style w:type="character" w:customStyle="1" w:styleId="a9">
    <w:name w:val="Основен текст с отстъп Знак"/>
    <w:basedOn w:val="a0"/>
    <w:link w:val="aa"/>
    <w:locked/>
    <w:rsid w:val="005404F7"/>
    <w:rPr>
      <w:sz w:val="24"/>
      <w:szCs w:val="24"/>
    </w:rPr>
  </w:style>
  <w:style w:type="paragraph" w:styleId="aa">
    <w:name w:val="Body Text Indent"/>
    <w:basedOn w:val="a"/>
    <w:link w:val="a9"/>
    <w:rsid w:val="005404F7"/>
    <w:pPr>
      <w:spacing w:before="100" w:beforeAutospacing="1" w:after="100" w:afterAutospacing="1"/>
    </w:pPr>
    <w:rPr>
      <w:sz w:val="24"/>
      <w:szCs w:val="24"/>
      <w:lang w:val="en-US"/>
    </w:rPr>
  </w:style>
  <w:style w:type="character" w:customStyle="1" w:styleId="BodyTextIndentChar1">
    <w:name w:val="Body Text Indent Char1"/>
    <w:basedOn w:val="a0"/>
    <w:link w:val="aa"/>
    <w:uiPriority w:val="99"/>
    <w:semiHidden/>
    <w:rsid w:val="005404F7"/>
    <w:rPr>
      <w:sz w:val="18"/>
      <w:lang w:val="bg-BG"/>
    </w:rPr>
  </w:style>
  <w:style w:type="paragraph" w:customStyle="1" w:styleId="magister">
    <w:name w:val="magister"/>
    <w:basedOn w:val="a"/>
    <w:rsid w:val="005F1B24"/>
    <w:pPr>
      <w:ind w:firstLine="567"/>
      <w:contextualSpacing/>
      <w:jc w:val="both"/>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da.chobanov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fka3@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10511</Characters>
  <Application>Microsoft Office Word</Application>
  <DocSecurity>0</DocSecurity>
  <Lines>87</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Учебен план</vt:lpstr>
      <vt:lpstr>Учебен план</vt:lpstr>
    </vt:vector>
  </TitlesOfParts>
  <Company/>
  <LinksUpToDate>false</LinksUpToDate>
  <CharactersWithSpaces>12331</CharactersWithSpaces>
  <SharedDoc>false</SharedDoc>
  <HLinks>
    <vt:vector size="12" baseType="variant">
      <vt:variant>
        <vt:i4>5832757</vt:i4>
      </vt:variant>
      <vt:variant>
        <vt:i4>3</vt:i4>
      </vt:variant>
      <vt:variant>
        <vt:i4>0</vt:i4>
      </vt:variant>
      <vt:variant>
        <vt:i4>5</vt:i4>
      </vt:variant>
      <vt:variant>
        <vt:lpwstr>mailto:stefka3@abv.bg</vt:lpwstr>
      </vt:variant>
      <vt:variant>
        <vt:lpwstr/>
      </vt:variant>
      <vt:variant>
        <vt:i4>5046304</vt:i4>
      </vt:variant>
      <vt:variant>
        <vt:i4>0</vt:i4>
      </vt:variant>
      <vt:variant>
        <vt:i4>0</vt:i4>
      </vt:variant>
      <vt:variant>
        <vt:i4>5</vt:i4>
      </vt:variant>
      <vt:variant>
        <vt:lpwstr>mailto:rada.chobanova@gmail.com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dc:title>
  <dc:creator>x</dc:creator>
  <cp:lastModifiedBy>FDean</cp:lastModifiedBy>
  <cp:revision>2</cp:revision>
  <cp:lastPrinted>2012-05-20T15:03:00Z</cp:lastPrinted>
  <dcterms:created xsi:type="dcterms:W3CDTF">2012-12-15T20:47:00Z</dcterms:created>
  <dcterms:modified xsi:type="dcterms:W3CDTF">2012-12-15T20:47:00Z</dcterms:modified>
</cp:coreProperties>
</file>